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162F" w:rsidRDefault="005E162F" w:rsidP="005E162F">
      <w:pPr>
        <w:pStyle w:val="a3"/>
        <w:jc w:val="center"/>
        <w:rPr>
          <w:rFonts w:cs="FrankRuehl"/>
          <w:noProof w:val="0"/>
          <w:sz w:val="28"/>
          <w:szCs w:val="28"/>
        </w:rPr>
      </w:pPr>
      <w:bookmarkStart w:id="0" w:name="_GoBack"/>
      <w:bookmarkEnd w:id="0"/>
      <w:r>
        <w:rPr>
          <w:rFonts w:cs="FrankRuehl"/>
          <w:sz w:val="28"/>
          <w:szCs w:val="28"/>
        </w:rPr>
        <w:drawing>
          <wp:inline distT="0" distB="0" distL="0" distR="0">
            <wp:extent cx="371475" cy="466725"/>
            <wp:effectExtent l="0" t="0" r="9525" b="9525"/>
            <wp:docPr id="1" name="תמונה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809"/>
        <w:gridCol w:w="3497"/>
      </w:tblGrid>
      <w:tr w:rsidR="005E162F" w:rsidTr="005E162F">
        <w:trPr>
          <w:trHeight w:val="704"/>
          <w:jc w:val="center"/>
        </w:trPr>
        <w:sdt>
          <w:sdtPr>
            <w:rPr>
              <w:rFonts w:ascii="Tahoma" w:hAnsi="Tahoma"/>
              <w:color w:val="000080"/>
              <w:sz w:val="32"/>
              <w:szCs w:val="32"/>
              <w:rtl/>
            </w:rPr>
            <w:alias w:val="1174"/>
            <w:tag w:val="1174"/>
            <w:id w:val="-1585920285"/>
            <w:text w:multiLine="1"/>
          </w:sdtPr>
          <w:sdtEndPr/>
          <w:sdtContent>
            <w:tc>
              <w:tcPr>
                <w:tcW w:w="8721" w:type="dxa"/>
                <w:gridSpan w:val="2"/>
                <w:hideMark/>
              </w:tcPr>
              <w:p w:rsidR="005E162F" w:rsidRDefault="005E162F">
                <w:pPr>
                  <w:pStyle w:val="a3"/>
                  <w:jc w:val="center"/>
                  <w:rPr>
                    <w:rFonts w:ascii="Tahoma" w:hAnsi="Tahoma"/>
                    <w:color w:val="000080"/>
                    <w:sz w:val="32"/>
                    <w:szCs w:val="32"/>
                    <w:rtl/>
                  </w:rPr>
                </w:pPr>
                <w:r>
                  <w:rPr>
                    <w:rFonts w:ascii="Tahoma" w:hAnsi="Tahoma"/>
                    <w:color w:val="000080"/>
                    <w:sz w:val="32"/>
                    <w:szCs w:val="32"/>
                    <w:rtl/>
                  </w:rPr>
                  <w:t>בית משפט לענייני משפחה בבאר שבע</w:t>
                </w:r>
              </w:p>
            </w:tc>
          </w:sdtContent>
        </w:sdt>
      </w:tr>
      <w:tr w:rsidR="005E162F" w:rsidTr="005E162F">
        <w:trPr>
          <w:trHeight w:val="337"/>
          <w:jc w:val="center"/>
        </w:trPr>
        <w:tc>
          <w:tcPr>
            <w:tcW w:w="5047" w:type="dxa"/>
          </w:tcPr>
          <w:p w:rsidR="005E162F" w:rsidRDefault="005E162F">
            <w:pPr>
              <w:rPr>
                <w:b/>
                <w:bCs/>
                <w:noProof w:val="0"/>
                <w:sz w:val="26"/>
                <w:szCs w:val="26"/>
                <w:rtl/>
              </w:rPr>
            </w:pPr>
          </w:p>
        </w:tc>
        <w:tc>
          <w:tcPr>
            <w:tcW w:w="3674" w:type="dxa"/>
          </w:tcPr>
          <w:p w:rsidR="005E162F" w:rsidRDefault="005E162F">
            <w:pPr>
              <w:pStyle w:val="a3"/>
              <w:jc w:val="right"/>
              <w:rPr>
                <w:b/>
                <w:bCs/>
                <w:noProof w:val="0"/>
                <w:sz w:val="26"/>
                <w:szCs w:val="26"/>
                <w:rtl/>
              </w:rPr>
            </w:pPr>
          </w:p>
        </w:tc>
      </w:tr>
      <w:tr w:rsidR="005E162F" w:rsidTr="005E162F">
        <w:trPr>
          <w:trHeight w:val="337"/>
          <w:jc w:val="center"/>
        </w:trPr>
        <w:tc>
          <w:tcPr>
            <w:tcW w:w="8721" w:type="dxa"/>
            <w:gridSpan w:val="2"/>
          </w:tcPr>
          <w:p w:rsidR="005E162F" w:rsidRDefault="005E162F" w:rsidP="004A18AD">
            <w:pPr>
              <w:rPr>
                <w:b/>
                <w:bCs/>
                <w:noProof w:val="0"/>
                <w:sz w:val="26"/>
                <w:szCs w:val="26"/>
                <w:rtl/>
              </w:rPr>
            </w:pPr>
            <w:r>
              <w:rPr>
                <w:b/>
                <w:bCs/>
                <w:noProof w:val="0"/>
                <w:sz w:val="26"/>
                <w:szCs w:val="26"/>
                <w:rtl/>
              </w:rPr>
              <w:t>ה"ט 1121-08-24 פ</w:t>
            </w:r>
            <w:r w:rsidR="004A18AD">
              <w:rPr>
                <w:rFonts w:hint="cs"/>
                <w:b/>
                <w:bCs/>
                <w:noProof w:val="0"/>
                <w:sz w:val="26"/>
                <w:szCs w:val="26"/>
                <w:rtl/>
              </w:rPr>
              <w:t>.</w:t>
            </w:r>
            <w:r>
              <w:rPr>
                <w:b/>
                <w:bCs/>
                <w:noProof w:val="0"/>
                <w:sz w:val="26"/>
                <w:szCs w:val="26"/>
                <w:rtl/>
              </w:rPr>
              <w:t xml:space="preserve"> נ' פ</w:t>
            </w:r>
            <w:r w:rsidR="004A18AD">
              <w:rPr>
                <w:rFonts w:hint="cs"/>
                <w:b/>
                <w:bCs/>
                <w:noProof w:val="0"/>
                <w:sz w:val="26"/>
                <w:szCs w:val="26"/>
                <w:rtl/>
              </w:rPr>
              <w:t>.</w:t>
            </w:r>
            <w:r>
              <w:rPr>
                <w:b/>
                <w:bCs/>
                <w:noProof w:val="0"/>
                <w:sz w:val="26"/>
                <w:szCs w:val="26"/>
                <w:rtl/>
              </w:rPr>
              <w:t>פ</w:t>
            </w:r>
            <w:r w:rsidR="004A18AD">
              <w:rPr>
                <w:rFonts w:hint="cs"/>
                <w:b/>
                <w:bCs/>
                <w:noProof w:val="0"/>
                <w:sz w:val="26"/>
                <w:szCs w:val="26"/>
                <w:rtl/>
              </w:rPr>
              <w:t>.</w:t>
            </w:r>
          </w:p>
          <w:p w:rsidR="005E162F" w:rsidRDefault="005E162F">
            <w:pPr>
              <w:rPr>
                <w:b/>
                <w:bCs/>
                <w:noProof w:val="0"/>
                <w:sz w:val="2"/>
                <w:szCs w:val="2"/>
                <w:rtl/>
              </w:rPr>
            </w:pPr>
          </w:p>
          <w:p w:rsidR="005E162F" w:rsidRDefault="005E162F">
            <w:pPr>
              <w:rPr>
                <w:sz w:val="20"/>
                <w:szCs w:val="20"/>
                <w:rtl/>
              </w:rPr>
            </w:pPr>
            <w:r>
              <w:rPr>
                <w:rtl/>
              </w:rPr>
              <w:t xml:space="preserve">                           </w:t>
            </w:r>
            <w:r>
              <w:rPr>
                <w:sz w:val="20"/>
                <w:szCs w:val="20"/>
                <w:rtl/>
              </w:rPr>
              <w:t xml:space="preserve">                                       </w:t>
            </w:r>
          </w:p>
          <w:p w:rsidR="005E162F" w:rsidRDefault="005E162F">
            <w:pPr>
              <w:rPr>
                <w:sz w:val="20"/>
                <w:szCs w:val="20"/>
                <w:rtl/>
              </w:rPr>
            </w:pPr>
          </w:p>
        </w:tc>
      </w:tr>
    </w:tbl>
    <w:tbl>
      <w:tblPr>
        <w:tblStyle w:val="a6"/>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5E162F" w:rsidTr="005E162F">
        <w:trPr>
          <w:trHeight w:val="295"/>
          <w:jc w:val="center"/>
        </w:trPr>
        <w:tc>
          <w:tcPr>
            <w:tcW w:w="5049" w:type="dxa"/>
            <w:gridSpan w:val="3"/>
          </w:tcPr>
          <w:p w:rsidR="005E162F" w:rsidRDefault="005E162F">
            <w:pPr>
              <w:suppressLineNumbers/>
              <w:rPr>
                <w:rFonts w:ascii="Arial" w:hAnsi="Arial"/>
                <w:b/>
                <w:bCs/>
                <w:noProof w:val="0"/>
                <w:sz w:val="26"/>
                <w:szCs w:val="26"/>
                <w:rtl/>
              </w:rPr>
            </w:pPr>
            <w:r>
              <w:rPr>
                <w:rFonts w:hint="cs"/>
                <w:rtl/>
              </w:rPr>
              <w:t xml:space="preserve">   </w:t>
            </w:r>
            <w:r>
              <w:rPr>
                <w:rtl/>
              </w:rPr>
              <w:t xml:space="preserve"> </w:t>
            </w:r>
          </w:p>
        </w:tc>
        <w:tc>
          <w:tcPr>
            <w:tcW w:w="3771" w:type="dxa"/>
            <w:hideMark/>
          </w:tcPr>
          <w:p w:rsidR="005E162F" w:rsidRDefault="005E162F">
            <w:pPr>
              <w:suppressLineNumbers/>
              <w:rPr>
                <w:rFonts w:ascii="Arial" w:hAnsi="Arial"/>
                <w:b/>
                <w:bCs/>
                <w:noProof w:val="0"/>
                <w:sz w:val="26"/>
                <w:szCs w:val="26"/>
                <w:rtl/>
              </w:rPr>
            </w:pPr>
            <w:r>
              <w:rPr>
                <w:rFonts w:ascii="Arial" w:hAnsi="Arial"/>
                <w:b/>
                <w:bCs/>
                <w:noProof w:val="0"/>
                <w:sz w:val="26"/>
                <w:szCs w:val="26"/>
                <w:rtl/>
              </w:rPr>
              <w:t>מספר בקשה:</w:t>
            </w:r>
            <w:r>
              <w:rPr>
                <w:rFonts w:ascii="Arial" w:hAnsi="Arial"/>
                <w:b/>
                <w:bCs/>
                <w:noProof w:val="0"/>
                <w:sz w:val="32"/>
                <w:szCs w:val="32"/>
                <w:rtl/>
              </w:rPr>
              <w:t>12</w:t>
            </w:r>
          </w:p>
        </w:tc>
      </w:tr>
      <w:tr w:rsidR="005E162F" w:rsidTr="005E162F">
        <w:trPr>
          <w:jc w:val="center"/>
        </w:trPr>
        <w:tc>
          <w:tcPr>
            <w:tcW w:w="743" w:type="dxa"/>
            <w:hideMark/>
          </w:tcPr>
          <w:p w:rsidR="005E162F" w:rsidRDefault="005E162F">
            <w:pPr>
              <w:suppressLineNumbers/>
              <w:jc w:val="both"/>
              <w:rPr>
                <w:rFonts w:ascii="Arial" w:hAnsi="Arial"/>
                <w:b/>
                <w:bCs/>
                <w:rtl/>
              </w:rPr>
            </w:pPr>
            <w:r>
              <w:rPr>
                <w:rFonts w:ascii="Arial" w:hAnsi="Arial"/>
                <w:b/>
                <w:bCs/>
                <w:rtl/>
              </w:rPr>
              <w:t xml:space="preserve">לפני </w:t>
            </w:r>
          </w:p>
        </w:tc>
        <w:tc>
          <w:tcPr>
            <w:tcW w:w="8077" w:type="dxa"/>
            <w:gridSpan w:val="3"/>
          </w:tcPr>
          <w:p w:rsidR="005E162F" w:rsidRDefault="005E162F">
            <w:pPr>
              <w:suppressLineNumbers/>
              <w:jc w:val="left"/>
              <w:rPr>
                <w:rFonts w:ascii="Arial" w:hAnsi="Arial"/>
                <w:b/>
                <w:bCs/>
                <w:rtl/>
              </w:rPr>
            </w:pPr>
            <w:r>
              <w:rPr>
                <w:rFonts w:ascii="Arial" w:hAnsi="Arial"/>
                <w:b/>
                <w:bCs/>
                <w:rtl/>
              </w:rPr>
              <w:t>כבוד השופט בכיר  מרדכי (מוטי) לוי</w:t>
            </w:r>
          </w:p>
          <w:p w:rsidR="005E162F" w:rsidRDefault="005E162F">
            <w:pPr>
              <w:suppressLineNumbers/>
              <w:rPr>
                <w:rFonts w:ascii="Arial" w:hAnsi="Arial" w:cs="FrankRuehl"/>
                <w:sz w:val="28"/>
                <w:szCs w:val="28"/>
                <w:highlight w:val="yellow"/>
                <w:rtl/>
              </w:rPr>
            </w:pPr>
          </w:p>
        </w:tc>
      </w:tr>
      <w:tr w:rsidR="005E162F" w:rsidTr="005E162F">
        <w:trPr>
          <w:jc w:val="center"/>
        </w:trPr>
        <w:tc>
          <w:tcPr>
            <w:tcW w:w="3249" w:type="dxa"/>
            <w:gridSpan w:val="2"/>
          </w:tcPr>
          <w:p w:rsidR="005E162F" w:rsidRDefault="005E162F">
            <w:pPr>
              <w:suppressLineNumbers/>
              <w:rPr>
                <w:rFonts w:ascii="Arial" w:hAnsi="Arial"/>
                <w:b/>
                <w:bCs/>
                <w:noProof w:val="0"/>
                <w:sz w:val="26"/>
                <w:szCs w:val="26"/>
              </w:rPr>
            </w:pPr>
          </w:p>
          <w:p w:rsidR="005E162F" w:rsidRDefault="005E162F">
            <w:pPr>
              <w:suppressLineNumbers/>
              <w:jc w:val="left"/>
              <w:rPr>
                <w:rFonts w:ascii="Arial" w:hAnsi="Arial"/>
                <w:b/>
                <w:bCs/>
                <w:noProof w:val="0"/>
                <w:sz w:val="26"/>
                <w:szCs w:val="26"/>
              </w:rPr>
            </w:pPr>
            <w:r>
              <w:rPr>
                <w:rFonts w:ascii="Arial" w:hAnsi="Arial"/>
                <w:b/>
                <w:bCs/>
                <w:noProof w:val="0"/>
                <w:sz w:val="26"/>
                <w:szCs w:val="26"/>
                <w:rtl/>
              </w:rPr>
              <w:t>מבקש</w:t>
            </w:r>
          </w:p>
        </w:tc>
        <w:tc>
          <w:tcPr>
            <w:tcW w:w="5571" w:type="dxa"/>
            <w:gridSpan w:val="2"/>
          </w:tcPr>
          <w:p w:rsidR="005E162F" w:rsidRDefault="005E162F">
            <w:pPr>
              <w:suppressLineNumbers/>
              <w:rPr>
                <w:rFonts w:ascii="Arial" w:hAnsi="Arial"/>
                <w:b/>
                <w:bCs/>
                <w:noProof w:val="0"/>
                <w:sz w:val="26"/>
                <w:szCs w:val="26"/>
                <w:rtl/>
              </w:rPr>
            </w:pPr>
          </w:p>
          <w:p w:rsidR="005E162F" w:rsidRDefault="005E162F" w:rsidP="004A18AD">
            <w:pPr>
              <w:suppressLineNumbers/>
              <w:jc w:val="left"/>
              <w:rPr>
                <w:b/>
                <w:bCs/>
                <w:noProof w:val="0"/>
                <w:sz w:val="26"/>
                <w:szCs w:val="26"/>
                <w:rtl/>
              </w:rPr>
            </w:pPr>
            <w:r>
              <w:rPr>
                <w:rFonts w:ascii="Arial" w:hAnsi="Arial"/>
                <w:b/>
                <w:bCs/>
                <w:noProof w:val="0"/>
                <w:sz w:val="26"/>
                <w:szCs w:val="26"/>
                <w:rtl/>
              </w:rPr>
              <w:t>י</w:t>
            </w:r>
            <w:r w:rsidR="004A18AD">
              <w:rPr>
                <w:rFonts w:ascii="Arial" w:hAnsi="Arial" w:hint="cs"/>
                <w:b/>
                <w:bCs/>
                <w:noProof w:val="0"/>
                <w:sz w:val="26"/>
                <w:szCs w:val="26"/>
                <w:rtl/>
              </w:rPr>
              <w:t>.</w:t>
            </w:r>
            <w:r>
              <w:rPr>
                <w:rFonts w:ascii="Arial" w:hAnsi="Arial"/>
                <w:b/>
                <w:bCs/>
                <w:noProof w:val="0"/>
                <w:sz w:val="26"/>
                <w:szCs w:val="26"/>
                <w:rtl/>
              </w:rPr>
              <w:t>פ</w:t>
            </w:r>
            <w:r w:rsidR="004A18AD">
              <w:rPr>
                <w:rFonts w:ascii="Arial" w:hAnsi="Arial" w:hint="cs"/>
                <w:b/>
                <w:bCs/>
                <w:noProof w:val="0"/>
                <w:sz w:val="26"/>
                <w:szCs w:val="26"/>
                <w:rtl/>
              </w:rPr>
              <w:t>.</w:t>
            </w:r>
          </w:p>
          <w:p w:rsidR="005E162F" w:rsidRDefault="005E162F">
            <w:pPr>
              <w:suppressLineNumbers/>
              <w:jc w:val="left"/>
              <w:rPr>
                <w:noProof w:val="0"/>
                <w:rtl/>
              </w:rPr>
            </w:pPr>
            <w:r>
              <w:rPr>
                <w:noProof w:val="0"/>
                <w:rtl/>
              </w:rPr>
              <w:t>מיוצג ע"י עו"ד גיל שחף</w:t>
            </w:r>
          </w:p>
        </w:tc>
      </w:tr>
      <w:tr w:rsidR="005E162F" w:rsidTr="005E162F">
        <w:trPr>
          <w:jc w:val="center"/>
        </w:trPr>
        <w:tc>
          <w:tcPr>
            <w:tcW w:w="8820" w:type="dxa"/>
            <w:gridSpan w:val="4"/>
          </w:tcPr>
          <w:p w:rsidR="005E162F" w:rsidRDefault="005E162F">
            <w:pPr>
              <w:suppressLineNumbers/>
              <w:rPr>
                <w:rFonts w:ascii="Arial" w:hAnsi="Arial"/>
                <w:b/>
                <w:bCs/>
                <w:noProof w:val="0"/>
                <w:sz w:val="26"/>
                <w:szCs w:val="26"/>
              </w:rPr>
            </w:pPr>
          </w:p>
          <w:p w:rsidR="005E162F" w:rsidRDefault="005E162F">
            <w:pPr>
              <w:suppressLineNumbers/>
              <w:jc w:val="center"/>
              <w:rPr>
                <w:rFonts w:ascii="Arial" w:hAnsi="Arial"/>
                <w:b/>
                <w:bCs/>
                <w:noProof w:val="0"/>
                <w:sz w:val="26"/>
                <w:szCs w:val="26"/>
                <w:rtl/>
              </w:rPr>
            </w:pPr>
            <w:r>
              <w:rPr>
                <w:rFonts w:ascii="Arial" w:hAnsi="Arial"/>
                <w:b/>
                <w:bCs/>
                <w:noProof w:val="0"/>
                <w:sz w:val="26"/>
                <w:szCs w:val="26"/>
                <w:rtl/>
              </w:rPr>
              <w:t>נגד</w:t>
            </w:r>
          </w:p>
          <w:p w:rsidR="005E162F" w:rsidRDefault="005E162F">
            <w:pPr>
              <w:suppressLineNumbers/>
              <w:rPr>
                <w:rFonts w:ascii="Arial" w:hAnsi="Arial"/>
                <w:b/>
                <w:bCs/>
                <w:noProof w:val="0"/>
                <w:sz w:val="26"/>
                <w:szCs w:val="26"/>
                <w:rtl/>
              </w:rPr>
            </w:pPr>
          </w:p>
        </w:tc>
      </w:tr>
      <w:tr w:rsidR="005E162F" w:rsidTr="005E162F">
        <w:trPr>
          <w:jc w:val="center"/>
        </w:trPr>
        <w:tc>
          <w:tcPr>
            <w:tcW w:w="3249" w:type="dxa"/>
            <w:gridSpan w:val="2"/>
            <w:hideMark/>
          </w:tcPr>
          <w:p w:rsidR="005E162F" w:rsidRDefault="005E162F">
            <w:pPr>
              <w:suppressLineNumbers/>
              <w:jc w:val="left"/>
              <w:rPr>
                <w:rFonts w:ascii="Arial" w:hAnsi="Arial"/>
                <w:b/>
                <w:bCs/>
                <w:noProof w:val="0"/>
                <w:sz w:val="26"/>
                <w:szCs w:val="26"/>
              </w:rPr>
            </w:pPr>
            <w:r>
              <w:rPr>
                <w:rFonts w:ascii="Arial" w:hAnsi="Arial"/>
                <w:b/>
                <w:bCs/>
                <w:noProof w:val="0"/>
                <w:sz w:val="26"/>
                <w:szCs w:val="26"/>
                <w:rtl/>
              </w:rPr>
              <w:t>משיבה</w:t>
            </w:r>
          </w:p>
        </w:tc>
        <w:tc>
          <w:tcPr>
            <w:tcW w:w="5571" w:type="dxa"/>
            <w:gridSpan w:val="2"/>
          </w:tcPr>
          <w:p w:rsidR="005E162F" w:rsidRDefault="005E162F" w:rsidP="004A18AD">
            <w:pPr>
              <w:suppressLineNumbers/>
              <w:jc w:val="left"/>
              <w:rPr>
                <w:rFonts w:ascii="Arial" w:hAnsi="Arial"/>
                <w:b/>
                <w:bCs/>
                <w:noProof w:val="0"/>
                <w:sz w:val="26"/>
                <w:szCs w:val="26"/>
              </w:rPr>
            </w:pPr>
            <w:r>
              <w:rPr>
                <w:rFonts w:ascii="Arial" w:hAnsi="Arial"/>
                <w:b/>
                <w:bCs/>
                <w:noProof w:val="0"/>
                <w:sz w:val="26"/>
                <w:szCs w:val="26"/>
                <w:rtl/>
              </w:rPr>
              <w:t>א</w:t>
            </w:r>
            <w:r w:rsidR="004A18AD">
              <w:rPr>
                <w:rFonts w:ascii="Arial" w:hAnsi="Arial" w:hint="cs"/>
                <w:b/>
                <w:bCs/>
                <w:noProof w:val="0"/>
                <w:sz w:val="26"/>
                <w:szCs w:val="26"/>
                <w:rtl/>
              </w:rPr>
              <w:t>.</w:t>
            </w:r>
            <w:r>
              <w:rPr>
                <w:rFonts w:ascii="Arial" w:hAnsi="Arial"/>
                <w:b/>
                <w:bCs/>
                <w:noProof w:val="0"/>
                <w:sz w:val="26"/>
                <w:szCs w:val="26"/>
                <w:rtl/>
              </w:rPr>
              <w:t>ל</w:t>
            </w:r>
            <w:r w:rsidR="004A18AD">
              <w:rPr>
                <w:rFonts w:ascii="Arial" w:hAnsi="Arial" w:hint="cs"/>
                <w:b/>
                <w:bCs/>
                <w:noProof w:val="0"/>
                <w:sz w:val="26"/>
                <w:szCs w:val="26"/>
                <w:rtl/>
              </w:rPr>
              <w:t>.</w:t>
            </w:r>
            <w:r>
              <w:rPr>
                <w:rFonts w:ascii="Arial" w:hAnsi="Arial"/>
                <w:b/>
                <w:bCs/>
                <w:noProof w:val="0"/>
                <w:sz w:val="26"/>
                <w:szCs w:val="26"/>
                <w:rtl/>
              </w:rPr>
              <w:t>פ</w:t>
            </w:r>
            <w:r w:rsidR="004A18AD">
              <w:rPr>
                <w:rFonts w:ascii="Arial" w:hAnsi="Arial" w:hint="cs"/>
                <w:b/>
                <w:bCs/>
                <w:noProof w:val="0"/>
                <w:sz w:val="26"/>
                <w:szCs w:val="26"/>
                <w:rtl/>
              </w:rPr>
              <w:t>.</w:t>
            </w:r>
            <w:r>
              <w:rPr>
                <w:rFonts w:ascii="Arial" w:hAnsi="Arial"/>
                <w:b/>
                <w:bCs/>
                <w:noProof w:val="0"/>
                <w:sz w:val="26"/>
                <w:szCs w:val="26"/>
                <w:rtl/>
              </w:rPr>
              <w:t>פ</w:t>
            </w:r>
            <w:r w:rsidR="004A18AD">
              <w:rPr>
                <w:rFonts w:ascii="Arial" w:hAnsi="Arial" w:hint="cs"/>
                <w:b/>
                <w:bCs/>
                <w:noProof w:val="0"/>
                <w:sz w:val="26"/>
                <w:szCs w:val="26"/>
                <w:rtl/>
              </w:rPr>
              <w:t>.</w:t>
            </w:r>
          </w:p>
          <w:p w:rsidR="005E162F" w:rsidRDefault="005E162F">
            <w:pPr>
              <w:suppressLineNumbers/>
              <w:jc w:val="left"/>
              <w:rPr>
                <w:rFonts w:ascii="Arial" w:hAnsi="Arial"/>
                <w:noProof w:val="0"/>
                <w:rtl/>
              </w:rPr>
            </w:pPr>
            <w:r>
              <w:rPr>
                <w:rFonts w:ascii="Arial" w:hAnsi="Arial"/>
                <w:noProof w:val="0"/>
                <w:rtl/>
              </w:rPr>
              <w:t>מיוצגת ע"י עו"ד דב פישר</w:t>
            </w:r>
          </w:p>
          <w:p w:rsidR="005E162F" w:rsidRDefault="005E162F">
            <w:pPr>
              <w:suppressLineNumbers/>
              <w:rPr>
                <w:b/>
                <w:bCs/>
                <w:noProof w:val="0"/>
                <w:sz w:val="26"/>
                <w:szCs w:val="26"/>
                <w:rtl/>
              </w:rPr>
            </w:pPr>
          </w:p>
        </w:tc>
      </w:tr>
    </w:tbl>
    <w:p w:rsidR="005E162F" w:rsidRDefault="005E162F" w:rsidP="005E162F">
      <w:pPr>
        <w:suppressLineNumbers/>
        <w:rPr>
          <w:rtl/>
        </w:rPr>
      </w:pPr>
    </w:p>
    <w:tbl>
      <w:tblPr>
        <w:tblStyle w:val="a6"/>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5E162F" w:rsidTr="005E162F">
        <w:trPr>
          <w:jc w:val="center"/>
        </w:trPr>
        <w:tc>
          <w:tcPr>
            <w:tcW w:w="8820" w:type="dxa"/>
          </w:tcPr>
          <w:p w:rsidR="005E162F" w:rsidRDefault="005E162F">
            <w:pPr>
              <w:bidi w:val="0"/>
              <w:jc w:val="center"/>
              <w:rPr>
                <w:rFonts w:ascii="Arial" w:hAnsi="Arial"/>
                <w:b/>
                <w:bCs/>
                <w:noProof w:val="0"/>
                <w:sz w:val="28"/>
                <w:szCs w:val="28"/>
                <w:u w:val="single"/>
                <w:rtl/>
              </w:rPr>
            </w:pPr>
            <w:r>
              <w:rPr>
                <w:rFonts w:ascii="Arial" w:hAnsi="Arial"/>
                <w:b/>
                <w:bCs/>
                <w:noProof w:val="0"/>
                <w:sz w:val="28"/>
                <w:szCs w:val="28"/>
                <w:u w:val="single"/>
                <w:rtl/>
              </w:rPr>
              <w:t>החלטה</w:t>
            </w:r>
          </w:p>
          <w:p w:rsidR="005E162F" w:rsidRDefault="005E162F">
            <w:pPr>
              <w:bidi w:val="0"/>
              <w:jc w:val="center"/>
              <w:rPr>
                <w:rFonts w:ascii="Arial" w:hAnsi="Arial"/>
                <w:b/>
                <w:bCs/>
                <w:noProof w:val="0"/>
                <w:u w:val="single"/>
              </w:rPr>
            </w:pPr>
            <w:r>
              <w:rPr>
                <w:rFonts w:ascii="Arial" w:hAnsi="Arial"/>
                <w:b/>
                <w:bCs/>
                <w:noProof w:val="0"/>
                <w:u w:val="single"/>
                <w:rtl/>
              </w:rPr>
              <w:t>בבקשה על פי פקודת ביזיון בית משפט</w:t>
            </w:r>
          </w:p>
          <w:p w:rsidR="005E162F" w:rsidRDefault="005E162F">
            <w:pPr>
              <w:bidi w:val="0"/>
              <w:jc w:val="center"/>
              <w:rPr>
                <w:rFonts w:ascii="Arial" w:hAnsi="Arial"/>
                <w:b/>
                <w:bCs/>
                <w:noProof w:val="0"/>
                <w:sz w:val="28"/>
                <w:szCs w:val="28"/>
                <w:u w:val="single"/>
              </w:rPr>
            </w:pPr>
          </w:p>
          <w:p w:rsidR="0042219E" w:rsidRDefault="0042219E" w:rsidP="0042219E">
            <w:pPr>
              <w:bidi w:val="0"/>
              <w:jc w:val="center"/>
              <w:rPr>
                <w:rFonts w:ascii="Arial" w:hAnsi="Arial"/>
                <w:b/>
                <w:bCs/>
                <w:noProof w:val="0"/>
                <w:sz w:val="28"/>
                <w:szCs w:val="28"/>
                <w:u w:val="single"/>
                <w:rtl/>
              </w:rPr>
            </w:pPr>
          </w:p>
        </w:tc>
      </w:tr>
    </w:tbl>
    <w:p w:rsidR="005E162F" w:rsidRDefault="005E162F" w:rsidP="005E162F">
      <w:pPr>
        <w:spacing w:line="360" w:lineRule="auto"/>
        <w:ind w:left="84"/>
        <w:jc w:val="both"/>
        <w:rPr>
          <w:rFonts w:ascii="David" w:hAnsi="David"/>
        </w:rPr>
      </w:pPr>
      <w:bookmarkStart w:id="1" w:name="NGCSBookmark"/>
      <w:bookmarkEnd w:id="1"/>
      <w:r>
        <w:rPr>
          <w:rFonts w:ascii="David" w:hAnsi="David"/>
          <w:rtl/>
        </w:rPr>
        <w:t>לפני שתי בקשות שהוגשו על ידי המבקש והוכתרו בכותרת כ"</w:t>
      </w:r>
      <w:r>
        <w:rPr>
          <w:rFonts w:ascii="David" w:hAnsi="David"/>
          <w:u w:val="single"/>
          <w:rtl/>
        </w:rPr>
        <w:t>בקשה לפי פקודת ביזיון בית משפט (לאור הפרות חוזרות ונשנות של צו מניעת הטרדה מאיימת)</w:t>
      </w:r>
      <w:r>
        <w:rPr>
          <w:rFonts w:ascii="David" w:hAnsi="David"/>
          <w:rtl/>
        </w:rPr>
        <w:t>".</w:t>
      </w:r>
    </w:p>
    <w:p w:rsidR="005E162F" w:rsidRDefault="005E162F" w:rsidP="005E162F">
      <w:pPr>
        <w:spacing w:line="360" w:lineRule="auto"/>
        <w:ind w:left="84"/>
        <w:jc w:val="both"/>
        <w:rPr>
          <w:rFonts w:ascii="David" w:hAnsi="David"/>
          <w:rtl/>
        </w:rPr>
      </w:pPr>
    </w:p>
    <w:p w:rsidR="005E162F" w:rsidRDefault="005E162F" w:rsidP="005E162F">
      <w:pPr>
        <w:spacing w:line="360" w:lineRule="auto"/>
        <w:ind w:left="84"/>
        <w:jc w:val="both"/>
        <w:rPr>
          <w:rFonts w:ascii="David" w:hAnsi="David"/>
          <w:rtl/>
        </w:rPr>
      </w:pPr>
      <w:r>
        <w:rPr>
          <w:rFonts w:ascii="David" w:hAnsi="David"/>
          <w:rtl/>
        </w:rPr>
        <w:t>החלטתי זו ניתנת במסגרת תורנות.</w:t>
      </w:r>
    </w:p>
    <w:p w:rsidR="005E162F" w:rsidRDefault="005E162F" w:rsidP="005E162F">
      <w:pPr>
        <w:spacing w:line="360" w:lineRule="auto"/>
        <w:ind w:left="84"/>
        <w:jc w:val="both"/>
        <w:rPr>
          <w:rFonts w:ascii="David" w:hAnsi="David"/>
          <w:rtl/>
        </w:rPr>
      </w:pPr>
    </w:p>
    <w:p w:rsidR="005E162F" w:rsidRDefault="005E162F" w:rsidP="005E162F">
      <w:pPr>
        <w:spacing w:line="360" w:lineRule="auto"/>
        <w:ind w:left="84"/>
        <w:jc w:val="both"/>
        <w:rPr>
          <w:rFonts w:ascii="David" w:hAnsi="David"/>
          <w:b/>
          <w:bCs/>
          <w:sz w:val="28"/>
          <w:szCs w:val="28"/>
          <w:rtl/>
        </w:rPr>
      </w:pPr>
      <w:r>
        <w:rPr>
          <w:rFonts w:ascii="David" w:hAnsi="David"/>
          <w:b/>
          <w:bCs/>
          <w:sz w:val="28"/>
          <w:szCs w:val="28"/>
          <w:u w:val="single"/>
          <w:rtl/>
        </w:rPr>
        <w:t>הרקע העובדתי הנדרש</w:t>
      </w:r>
      <w:r>
        <w:rPr>
          <w:rFonts w:ascii="David" w:hAnsi="David"/>
          <w:b/>
          <w:bCs/>
          <w:sz w:val="28"/>
          <w:szCs w:val="28"/>
          <w:rtl/>
        </w:rPr>
        <w:t>:</w:t>
      </w:r>
    </w:p>
    <w:p w:rsidR="005E162F" w:rsidRDefault="005E162F" w:rsidP="005E162F">
      <w:pPr>
        <w:spacing w:line="360" w:lineRule="auto"/>
        <w:ind w:left="84"/>
        <w:jc w:val="both"/>
        <w:rPr>
          <w:rFonts w:ascii="David" w:hAnsi="David"/>
          <w:b/>
          <w:bCs/>
          <w:sz w:val="28"/>
          <w:szCs w:val="28"/>
          <w:rtl/>
        </w:rPr>
      </w:pPr>
    </w:p>
    <w:p w:rsidR="005E162F" w:rsidRDefault="005E162F" w:rsidP="005E162F">
      <w:pPr>
        <w:spacing w:line="360" w:lineRule="auto"/>
        <w:ind w:left="714" w:hanging="630"/>
        <w:jc w:val="both"/>
        <w:rPr>
          <w:rFonts w:ascii="David" w:hAnsi="David"/>
          <w:rtl/>
        </w:rPr>
      </w:pPr>
      <w:r>
        <w:rPr>
          <w:rFonts w:ascii="David" w:hAnsi="David"/>
          <w:rtl/>
        </w:rPr>
        <w:lastRenderedPageBreak/>
        <w:t>1.</w:t>
      </w:r>
      <w:r>
        <w:rPr>
          <w:rFonts w:ascii="David" w:hAnsi="David"/>
          <w:rtl/>
        </w:rPr>
        <w:tab/>
        <w:t xml:space="preserve">ביום 17.8.2024 ניתן פסק דין (במסגרת תורנות) על ידי חברי כבוד השופט שי שמואל  ב- </w:t>
      </w:r>
      <w:r>
        <w:rPr>
          <w:rFonts w:ascii="David" w:hAnsi="David"/>
          <w:u w:val="single"/>
          <w:rtl/>
        </w:rPr>
        <w:t>ה"ט 1121-08-24</w:t>
      </w:r>
      <w:r>
        <w:rPr>
          <w:rFonts w:ascii="David" w:hAnsi="David"/>
          <w:rtl/>
        </w:rPr>
        <w:t xml:space="preserve"> (להלן-</w:t>
      </w:r>
      <w:r>
        <w:rPr>
          <w:rFonts w:ascii="Miriam" w:hAnsi="Miriam" w:cs="Miriam"/>
          <w:b/>
          <w:bCs/>
          <w:rtl/>
        </w:rPr>
        <w:t>פסק הדין</w:t>
      </w:r>
      <w:r>
        <w:rPr>
          <w:rFonts w:ascii="David" w:hAnsi="David"/>
          <w:rtl/>
        </w:rPr>
        <w:t xml:space="preserve">). </w:t>
      </w:r>
    </w:p>
    <w:p w:rsidR="005E162F" w:rsidRDefault="005E162F" w:rsidP="005E162F">
      <w:pPr>
        <w:ind w:left="714" w:hanging="630"/>
        <w:rPr>
          <w:rtl/>
        </w:rPr>
      </w:pPr>
    </w:p>
    <w:p w:rsidR="005E162F" w:rsidRDefault="005E162F" w:rsidP="005E162F">
      <w:pPr>
        <w:spacing w:line="360" w:lineRule="auto"/>
        <w:ind w:left="714" w:hanging="630"/>
        <w:jc w:val="both"/>
        <w:rPr>
          <w:rFonts w:ascii="David" w:hAnsi="David"/>
          <w:rtl/>
        </w:rPr>
      </w:pPr>
      <w:r>
        <w:rPr>
          <w:rFonts w:ascii="David" w:hAnsi="David"/>
          <w:rtl/>
        </w:rPr>
        <w:t>2.</w:t>
      </w:r>
      <w:r>
        <w:rPr>
          <w:rFonts w:ascii="David" w:hAnsi="David"/>
          <w:rtl/>
        </w:rPr>
        <w:tab/>
        <w:t>בקציר האומר יובהר שאת הבקשה לצו למניעת הטרדה מאיימת הגיש המבקש דכאן ובבקשתו עתר לשני סעדים: "...</w:t>
      </w:r>
      <w:r>
        <w:rPr>
          <w:rFonts w:ascii="David" w:hAnsi="David"/>
          <w:b/>
          <w:bCs/>
          <w:rtl/>
        </w:rPr>
        <w:t xml:space="preserve">האחד  מניעת הטרדה מצד המשיבה, והשני צו שיאסור  על המשיבה למנוע ממנו כניסה לבית המגורים ב- </w:t>
      </w:r>
      <w:r>
        <w:rPr>
          <w:rFonts w:ascii="David" w:hAnsi="David"/>
          <w:b/>
          <w:bCs/>
        </w:rPr>
        <w:t>XXX</w:t>
      </w:r>
      <w:r>
        <w:rPr>
          <w:rFonts w:ascii="David" w:hAnsi="David"/>
          <w:b/>
          <w:bCs/>
          <w:rtl/>
        </w:rPr>
        <w:t xml:space="preserve"> ו/או מגורים בו</w:t>
      </w:r>
      <w:r>
        <w:rPr>
          <w:rFonts w:ascii="David" w:hAnsi="David"/>
          <w:rtl/>
        </w:rPr>
        <w:t>" (ס' 30 לפסק הדין). (להלן-</w:t>
      </w:r>
      <w:r>
        <w:rPr>
          <w:rFonts w:ascii="Miriam" w:hAnsi="Miriam" w:cs="Miriam"/>
          <w:b/>
          <w:bCs/>
          <w:rtl/>
        </w:rPr>
        <w:t>הבית</w:t>
      </w:r>
      <w:r>
        <w:rPr>
          <w:rFonts w:ascii="David" w:hAnsi="David"/>
          <w:rtl/>
        </w:rPr>
        <w:t>).</w:t>
      </w:r>
    </w:p>
    <w:p w:rsidR="005E162F" w:rsidRDefault="005E162F" w:rsidP="005E162F">
      <w:pPr>
        <w:spacing w:line="360" w:lineRule="auto"/>
        <w:ind w:left="714" w:hanging="630"/>
        <w:jc w:val="both"/>
        <w:rPr>
          <w:rFonts w:ascii="David" w:hAnsi="David"/>
          <w:rtl/>
        </w:rPr>
      </w:pPr>
    </w:p>
    <w:p w:rsidR="005E162F" w:rsidRDefault="005E162F" w:rsidP="005E162F">
      <w:pPr>
        <w:spacing w:line="360" w:lineRule="auto"/>
        <w:ind w:left="714" w:hanging="630"/>
        <w:jc w:val="both"/>
        <w:rPr>
          <w:rFonts w:ascii="David" w:hAnsi="David"/>
          <w:rtl/>
        </w:rPr>
      </w:pPr>
      <w:r>
        <w:rPr>
          <w:rFonts w:ascii="David" w:hAnsi="David"/>
          <w:rtl/>
        </w:rPr>
        <w:t>3.</w:t>
      </w:r>
      <w:r>
        <w:rPr>
          <w:rFonts w:ascii="David" w:hAnsi="David"/>
          <w:rtl/>
        </w:rPr>
        <w:tab/>
        <w:t>במסגרת פסק הדין תאר כבוד השופט שמואל את השתלשלות העניינים וקבע, בין היתר,  שהמבקש עזב את בית הצדדים לאור הסכמה על כך עם המשיבה. בית המשפט לא חסך בקורתו על המבקש וראה בשובו להתגורר בבית מעשה העולה כדי "...</w:t>
      </w:r>
      <w:r>
        <w:rPr>
          <w:rFonts w:ascii="David" w:hAnsi="David"/>
          <w:b/>
          <w:bCs/>
          <w:rtl/>
        </w:rPr>
        <w:t>חוסר תום לב</w:t>
      </w:r>
      <w:r>
        <w:rPr>
          <w:rFonts w:ascii="David" w:hAnsi="David"/>
          <w:rtl/>
        </w:rPr>
        <w:t xml:space="preserve"> [...]  </w:t>
      </w:r>
      <w:r>
        <w:rPr>
          <w:rFonts w:ascii="David" w:hAnsi="David"/>
          <w:b/>
          <w:bCs/>
          <w:rtl/>
        </w:rPr>
        <w:t>הטמנת מלכודת למשיבה כדי שזו תיתפס בקלקלתה</w:t>
      </w:r>
      <w:r>
        <w:rPr>
          <w:rFonts w:ascii="David" w:hAnsi="David"/>
          <w:rtl/>
        </w:rPr>
        <w:t>." (ס' 46 לפסק הדין).</w:t>
      </w:r>
    </w:p>
    <w:p w:rsidR="005E162F" w:rsidRDefault="005E162F" w:rsidP="005E162F">
      <w:pPr>
        <w:spacing w:line="360" w:lineRule="auto"/>
        <w:ind w:left="714" w:hanging="630"/>
        <w:jc w:val="both"/>
        <w:rPr>
          <w:rFonts w:ascii="David" w:hAnsi="David"/>
          <w:rtl/>
        </w:rPr>
      </w:pPr>
    </w:p>
    <w:p w:rsidR="005E162F" w:rsidRDefault="005E162F" w:rsidP="005E162F">
      <w:pPr>
        <w:spacing w:line="360" w:lineRule="auto"/>
        <w:ind w:left="714" w:hanging="630"/>
        <w:jc w:val="both"/>
        <w:rPr>
          <w:rFonts w:ascii="David" w:hAnsi="David"/>
          <w:rtl/>
        </w:rPr>
      </w:pPr>
      <w:r>
        <w:rPr>
          <w:rFonts w:ascii="David" w:hAnsi="David"/>
          <w:rtl/>
        </w:rPr>
        <w:t>4.</w:t>
      </w:r>
      <w:r>
        <w:rPr>
          <w:rFonts w:ascii="David" w:hAnsi="David"/>
          <w:rtl/>
        </w:rPr>
        <w:tab/>
        <w:t xml:space="preserve">עם זאת, לאחר ניתוח התנהלות הצדדים ובעיקר של המבקש דכאן ביקש כבוד השופט שמואל להדגיש " </w:t>
      </w:r>
      <w:r>
        <w:rPr>
          <w:rFonts w:ascii="David" w:hAnsi="David"/>
          <w:b/>
          <w:bCs/>
          <w:rtl/>
        </w:rPr>
        <w:t xml:space="preserve">לא נעלמה מעיני העובדה כי אין בנמצא צו המורה על הרחקת המבקש מהבית ב- </w:t>
      </w:r>
      <w:r>
        <w:rPr>
          <w:rFonts w:ascii="David" w:hAnsi="David"/>
          <w:b/>
          <w:bCs/>
        </w:rPr>
        <w:t>XXX</w:t>
      </w:r>
      <w:r>
        <w:rPr>
          <w:rFonts w:ascii="David" w:hAnsi="David"/>
          <w:b/>
          <w:bCs/>
          <w:rtl/>
        </w:rPr>
        <w:t xml:space="preserve"> והלכה למעשה לא הייתה כל מגבלה על המבקש לשוב לבית וזה יכול היה לעשות כן בכל שלב. דווקא טענות המבקש כפי שהועלו במסגרת הליך הי"ס העומדות בסתירה מוחלטת לבקשתו זו מלמדת כי המבקש החליט "לוותר" על טובת הקטינים כפי טענתו תוך העדפת שיפור עמדות במסגרת הקרב הרכושי שאם לא כן לא היה פועל להגשתה ולדרישתו לשוב ולהתגורר בבית ב- </w:t>
      </w:r>
      <w:r>
        <w:rPr>
          <w:rFonts w:ascii="David" w:hAnsi="David"/>
          <w:b/>
          <w:bCs/>
        </w:rPr>
        <w:t>XXX</w:t>
      </w:r>
      <w:r>
        <w:rPr>
          <w:rFonts w:ascii="David" w:hAnsi="David"/>
          <w:rtl/>
        </w:rPr>
        <w:t>." (ס' 43 לפסק הדין). כך, דחה בית המשפט את טענת המבקש שאין לו מקום אחר להתגורר בו (ס' 39 לפסק הדין).</w:t>
      </w:r>
    </w:p>
    <w:p w:rsidR="005E162F" w:rsidRDefault="005E162F" w:rsidP="005E162F">
      <w:pPr>
        <w:spacing w:line="360" w:lineRule="auto"/>
        <w:ind w:left="714" w:hanging="630"/>
        <w:jc w:val="both"/>
        <w:rPr>
          <w:rFonts w:ascii="David" w:hAnsi="David"/>
          <w:rtl/>
        </w:rPr>
      </w:pPr>
    </w:p>
    <w:p w:rsidR="005E162F" w:rsidRDefault="005E162F" w:rsidP="005E162F">
      <w:pPr>
        <w:spacing w:line="360" w:lineRule="auto"/>
        <w:ind w:left="714" w:hanging="630"/>
        <w:jc w:val="both"/>
        <w:rPr>
          <w:rFonts w:ascii="David" w:hAnsi="David"/>
          <w:rtl/>
        </w:rPr>
      </w:pPr>
      <w:r>
        <w:rPr>
          <w:rFonts w:ascii="David" w:hAnsi="David"/>
          <w:rtl/>
        </w:rPr>
        <w:t>5.</w:t>
      </w:r>
      <w:r>
        <w:rPr>
          <w:rFonts w:ascii="David" w:hAnsi="David"/>
          <w:rtl/>
        </w:rPr>
        <w:tab/>
        <w:t>פסק הדין מלמד על חוסר הנוחות, לשון המעטה, של כבוד השופט שמואל לעצם החזרה של המבקש להתגורר בבית שתכליתה רצונו של המבקש "...</w:t>
      </w:r>
      <w:r>
        <w:rPr>
          <w:rFonts w:ascii="David" w:hAnsi="David"/>
          <w:b/>
          <w:bCs/>
          <w:rtl/>
        </w:rPr>
        <w:t>לשנות את עמדתו ולשפר את מצבו בכל הקשור לטענות כלכליות, ובכלל זה גם הטענות שנשמעו בעניין הבית ב-</w:t>
      </w:r>
      <w:r>
        <w:rPr>
          <w:rFonts w:ascii="David" w:hAnsi="David"/>
          <w:b/>
          <w:bCs/>
        </w:rPr>
        <w:t>XXX</w:t>
      </w:r>
      <w:r>
        <w:rPr>
          <w:rFonts w:ascii="David" w:hAnsi="David"/>
          <w:b/>
          <w:bCs/>
          <w:rtl/>
        </w:rPr>
        <w:t xml:space="preserve"> במהלך הדיון ובקובץ </w:t>
      </w:r>
      <w:r>
        <w:rPr>
          <w:rFonts w:ascii="David" w:hAnsi="David"/>
          <w:b/>
          <w:bCs/>
          <w:rtl/>
        </w:rPr>
        <w:lastRenderedPageBreak/>
        <w:t>השמע</w:t>
      </w:r>
      <w:r>
        <w:rPr>
          <w:rFonts w:ascii="David" w:hAnsi="David"/>
          <w:rtl/>
        </w:rPr>
        <w:t>" (ס' 37 לפסק הדין) וכל זאת כשהמבקש מודע למתח בין הצדדים.  יתרה מכך סבר כבוד השופט שמואל שמלכתחילה "</w:t>
      </w:r>
      <w:r>
        <w:rPr>
          <w:rFonts w:ascii="David" w:hAnsi="David"/>
          <w:b/>
          <w:bCs/>
          <w:rtl/>
        </w:rPr>
        <w:t>לא היה כל מקום לחזרתו</w:t>
      </w:r>
      <w:r>
        <w:rPr>
          <w:rFonts w:ascii="David" w:hAnsi="David"/>
          <w:rtl/>
        </w:rPr>
        <w:t>" (ס' 41 לפסק הדין).</w:t>
      </w:r>
    </w:p>
    <w:p w:rsidR="005E162F" w:rsidRDefault="005E162F" w:rsidP="005E162F">
      <w:pPr>
        <w:spacing w:line="360" w:lineRule="auto"/>
        <w:ind w:left="714" w:hanging="630"/>
        <w:jc w:val="both"/>
        <w:rPr>
          <w:rFonts w:ascii="David" w:hAnsi="David"/>
          <w:rtl/>
        </w:rPr>
      </w:pPr>
    </w:p>
    <w:p w:rsidR="005E162F" w:rsidRDefault="005E162F" w:rsidP="005E162F">
      <w:pPr>
        <w:spacing w:line="360" w:lineRule="auto"/>
        <w:ind w:left="714" w:hanging="630"/>
        <w:jc w:val="both"/>
        <w:rPr>
          <w:rFonts w:ascii="David" w:hAnsi="David"/>
          <w:rtl/>
        </w:rPr>
      </w:pPr>
      <w:r>
        <w:rPr>
          <w:rFonts w:ascii="David" w:hAnsi="David"/>
          <w:rtl/>
        </w:rPr>
        <w:t>6.</w:t>
      </w:r>
      <w:r>
        <w:rPr>
          <w:rFonts w:ascii="David" w:hAnsi="David"/>
          <w:rtl/>
        </w:rPr>
        <w:tab/>
        <w:t>כבוד השופט שמואל הבהיר שבמסגרת ההליך מושא פסק הדין  לא יהא זה ראוי  להיכנס "...</w:t>
      </w:r>
      <w:r>
        <w:rPr>
          <w:rFonts w:ascii="David" w:hAnsi="David"/>
          <w:b/>
          <w:bCs/>
          <w:rtl/>
        </w:rPr>
        <w:t>לוויכוח הרכושי שבין הצדדים בדבר הבעלות בבית</w:t>
      </w:r>
      <w:r>
        <w:rPr>
          <w:rFonts w:ascii="David" w:hAnsi="David"/>
          <w:rtl/>
        </w:rPr>
        <w:t>...</w:t>
      </w:r>
      <w:r>
        <w:rPr>
          <w:rFonts w:ascii="David" w:hAnsi="David"/>
          <w:b/>
          <w:bCs/>
          <w:rtl/>
        </w:rPr>
        <w:t>שעה שהבקשה</w:t>
      </w:r>
      <w:r>
        <w:rPr>
          <w:rFonts w:ascii="David" w:hAnsi="David"/>
          <w:rtl/>
        </w:rPr>
        <w:t xml:space="preserve"> (לצו למניעת הטרדה-מ.ל) </w:t>
      </w:r>
      <w:r>
        <w:rPr>
          <w:rFonts w:ascii="David" w:hAnsi="David"/>
          <w:b/>
          <w:bCs/>
          <w:rtl/>
        </w:rPr>
        <w:t>אינה עוסקת בעניין זה אלא במתן צו למניעת הטרדה מאיימת ומניעת מגוריו של המבקש בבית</w:t>
      </w:r>
      <w:r>
        <w:rPr>
          <w:rFonts w:ascii="David" w:hAnsi="David"/>
          <w:rtl/>
        </w:rPr>
        <w:t xml:space="preserve">"  (ס' 45 לפסק הדין).  </w:t>
      </w:r>
    </w:p>
    <w:p w:rsidR="005E162F" w:rsidRDefault="005E162F" w:rsidP="005E162F">
      <w:pPr>
        <w:spacing w:line="360" w:lineRule="auto"/>
        <w:ind w:left="714" w:hanging="630"/>
        <w:jc w:val="both"/>
        <w:rPr>
          <w:rFonts w:ascii="David" w:hAnsi="David"/>
          <w:rtl/>
        </w:rPr>
      </w:pPr>
    </w:p>
    <w:p w:rsidR="005E162F" w:rsidRDefault="005E162F" w:rsidP="005E162F">
      <w:pPr>
        <w:spacing w:line="360" w:lineRule="auto"/>
        <w:ind w:left="714" w:hanging="630"/>
        <w:jc w:val="both"/>
        <w:rPr>
          <w:rFonts w:ascii="David" w:hAnsi="David"/>
          <w:rtl/>
        </w:rPr>
      </w:pPr>
      <w:r>
        <w:rPr>
          <w:rFonts w:ascii="David" w:hAnsi="David"/>
          <w:rtl/>
        </w:rPr>
        <w:t>7.</w:t>
      </w:r>
      <w:r>
        <w:rPr>
          <w:rFonts w:ascii="David" w:hAnsi="David"/>
          <w:rtl/>
        </w:rPr>
        <w:tab/>
        <w:t>אחר ניתוח הדברים, שעיקרם בהקשר עם החלטתי זו הובאו לעיל,  קבע השופט שמואל בפן האופרטיבי  של פסק הדין את הדברים הבאים:</w:t>
      </w:r>
    </w:p>
    <w:p w:rsidR="0042219E" w:rsidRDefault="0042219E" w:rsidP="005E162F">
      <w:pPr>
        <w:spacing w:line="360" w:lineRule="auto"/>
        <w:ind w:left="714" w:hanging="630"/>
        <w:jc w:val="both"/>
        <w:rPr>
          <w:rFonts w:ascii="David" w:hAnsi="David"/>
          <w:rtl/>
        </w:rPr>
      </w:pPr>
    </w:p>
    <w:p w:rsidR="005E162F" w:rsidRDefault="005E162F" w:rsidP="005E162F">
      <w:pPr>
        <w:spacing w:line="360" w:lineRule="auto"/>
        <w:ind w:left="1434" w:hanging="720"/>
        <w:jc w:val="both"/>
        <w:rPr>
          <w:rFonts w:ascii="David" w:eastAsiaTheme="minorHAnsi" w:hAnsi="David"/>
          <w:b/>
          <w:bCs/>
          <w:rtl/>
        </w:rPr>
      </w:pPr>
      <w:r>
        <w:rPr>
          <w:rFonts w:ascii="David" w:hAnsi="David"/>
          <w:rtl/>
        </w:rPr>
        <w:t>"</w:t>
      </w:r>
      <w:r>
        <w:rPr>
          <w:rFonts w:ascii="David" w:hAnsi="David"/>
          <w:b/>
          <w:bCs/>
          <w:rtl/>
        </w:rPr>
        <w:t>49</w:t>
      </w:r>
      <w:r>
        <w:rPr>
          <w:rFonts w:ascii="David" w:hAnsi="David"/>
          <w:rtl/>
        </w:rPr>
        <w:t>.</w:t>
      </w:r>
      <w:r>
        <w:rPr>
          <w:rFonts w:ascii="David" w:hAnsi="David"/>
          <w:rtl/>
        </w:rPr>
        <w:tab/>
      </w:r>
      <w:r>
        <w:rPr>
          <w:rFonts w:ascii="David" w:hAnsi="David"/>
          <w:b/>
          <w:bCs/>
          <w:rtl/>
        </w:rPr>
        <w:t>בנסיבות שנוצרו בהן, מחד מהשיחה שהוקלטה עולה כי המשיבה התנהגה כלפיי המבקש באופן מאיים ואלים כלפיי המבקש, ומאידך המבקש פעל בחוסר תום לב תוך שהוא מקניט המשיבה ומקליט השיחה כדי לשפר עמדותיו תוך ניצול המתח הרב שבניהם, מצאתי לתת צו למניעת הטרדה הדדי שיאסור על מי מהצדדים להטריד את משנהו בכל מקום, בכל דרך ובכל מקום.</w:t>
      </w:r>
    </w:p>
    <w:p w:rsidR="005E162F" w:rsidRDefault="005E162F" w:rsidP="005E162F">
      <w:pPr>
        <w:spacing w:line="360" w:lineRule="auto"/>
        <w:ind w:left="1434" w:hanging="720"/>
        <w:jc w:val="both"/>
        <w:rPr>
          <w:rFonts w:ascii="David" w:hAnsi="David"/>
          <w:b/>
          <w:bCs/>
          <w:rtl/>
        </w:rPr>
      </w:pPr>
      <w:r>
        <w:rPr>
          <w:rFonts w:ascii="David" w:hAnsi="David"/>
          <w:b/>
          <w:bCs/>
          <w:rtl/>
        </w:rPr>
        <w:t>50.</w:t>
      </w:r>
      <w:r>
        <w:rPr>
          <w:rFonts w:ascii="David" w:hAnsi="David"/>
          <w:b/>
          <w:bCs/>
          <w:rtl/>
        </w:rPr>
        <w:tab/>
        <w:t>עוד מצאתי לאסור על מי מהצדדים להקליט, להסריט או להתחקות אחר הצד השני.</w:t>
      </w:r>
    </w:p>
    <w:p w:rsidR="005E162F" w:rsidRDefault="005E162F" w:rsidP="005E162F">
      <w:pPr>
        <w:spacing w:line="360" w:lineRule="auto"/>
        <w:ind w:left="1434" w:hanging="720"/>
        <w:jc w:val="both"/>
        <w:rPr>
          <w:rFonts w:ascii="David" w:hAnsi="David"/>
          <w:b/>
          <w:bCs/>
        </w:rPr>
      </w:pPr>
      <w:r>
        <w:rPr>
          <w:rFonts w:ascii="David" w:hAnsi="David"/>
          <w:b/>
          <w:bCs/>
          <w:rtl/>
        </w:rPr>
        <w:t>51.</w:t>
      </w:r>
      <w:r>
        <w:rPr>
          <w:rFonts w:ascii="David" w:hAnsi="David"/>
          <w:b/>
          <w:bCs/>
          <w:rtl/>
        </w:rPr>
        <w:tab/>
        <w:t>הצו למניעת ההטרדה הדדי כולל איסור לאיים, לקלל, להשפיל או לפעול בכל דרך אחרת שיש בה כדי להביא להטרדת הצד האחר.</w:t>
      </w:r>
    </w:p>
    <w:p w:rsidR="005E162F" w:rsidRDefault="005E162F" w:rsidP="005E162F">
      <w:pPr>
        <w:spacing w:line="360" w:lineRule="auto"/>
        <w:ind w:left="1434" w:hanging="720"/>
        <w:jc w:val="both"/>
        <w:rPr>
          <w:rFonts w:ascii="David" w:hAnsi="David"/>
          <w:b/>
          <w:bCs/>
        </w:rPr>
      </w:pPr>
      <w:r>
        <w:rPr>
          <w:rFonts w:ascii="David" w:hAnsi="David"/>
          <w:b/>
          <w:bCs/>
          <w:rtl/>
        </w:rPr>
        <w:t>52.</w:t>
      </w:r>
      <w:r>
        <w:rPr>
          <w:rFonts w:ascii="David" w:hAnsi="David"/>
          <w:b/>
          <w:bCs/>
          <w:rtl/>
        </w:rPr>
        <w:tab/>
        <w:t xml:space="preserve">לא מצאתי להיעתר לסעד למתן צו הקשור לשימוש המבקש בבית שברחוב </w:t>
      </w:r>
      <w:r>
        <w:rPr>
          <w:rFonts w:ascii="David" w:hAnsi="David"/>
          <w:b/>
          <w:bCs/>
        </w:rPr>
        <w:t>XX</w:t>
      </w:r>
      <w:r>
        <w:rPr>
          <w:rFonts w:ascii="David" w:hAnsi="David"/>
          <w:b/>
          <w:bCs/>
          <w:rtl/>
        </w:rPr>
        <w:t xml:space="preserve"> ביישוב </w:t>
      </w:r>
      <w:r>
        <w:rPr>
          <w:rFonts w:ascii="David" w:hAnsi="David"/>
          <w:b/>
          <w:bCs/>
        </w:rPr>
        <w:t>XX</w:t>
      </w:r>
      <w:r>
        <w:rPr>
          <w:rFonts w:ascii="David" w:hAnsi="David"/>
          <w:b/>
          <w:bCs/>
          <w:rtl/>
        </w:rPr>
        <w:t xml:space="preserve"> שעה שאין צו שיפוטי או צו אחר שניתן ע"י משטרת המונע שימוש בבית.</w:t>
      </w:r>
    </w:p>
    <w:p w:rsidR="005E162F" w:rsidRDefault="005E162F" w:rsidP="005E162F">
      <w:pPr>
        <w:spacing w:line="360" w:lineRule="auto"/>
        <w:ind w:left="1434" w:hanging="720"/>
        <w:jc w:val="both"/>
        <w:rPr>
          <w:rFonts w:ascii="David" w:hAnsi="David"/>
          <w:b/>
          <w:bCs/>
        </w:rPr>
      </w:pPr>
      <w:r>
        <w:rPr>
          <w:rFonts w:ascii="David" w:hAnsi="David"/>
          <w:b/>
          <w:bCs/>
          <w:rtl/>
        </w:rPr>
        <w:t>53.</w:t>
      </w:r>
      <w:r>
        <w:rPr>
          <w:rFonts w:ascii="David" w:hAnsi="David"/>
          <w:b/>
          <w:bCs/>
          <w:rtl/>
        </w:rPr>
        <w:tab/>
        <w:t xml:space="preserve">מובהר, כי לצדדים פתוחה הדרך, בתום תקופת עיכוב ההליכים או במסגרתו בבקשה לסעד דחוף מתאים, לפנות לביהמ"ש בסעד מתאים.  </w:t>
      </w:r>
    </w:p>
    <w:p w:rsidR="005E162F" w:rsidRDefault="005E162F" w:rsidP="005E162F">
      <w:pPr>
        <w:spacing w:line="360" w:lineRule="auto"/>
        <w:ind w:left="84" w:firstLine="630"/>
        <w:jc w:val="both"/>
        <w:rPr>
          <w:rFonts w:ascii="David" w:hAnsi="David"/>
        </w:rPr>
      </w:pPr>
      <w:r>
        <w:rPr>
          <w:rFonts w:ascii="David" w:hAnsi="David"/>
          <w:b/>
          <w:bCs/>
          <w:rtl/>
        </w:rPr>
        <w:lastRenderedPageBreak/>
        <w:t>54.</w:t>
      </w:r>
      <w:r>
        <w:rPr>
          <w:rFonts w:ascii="David" w:hAnsi="David"/>
          <w:b/>
          <w:bCs/>
          <w:rtl/>
        </w:rPr>
        <w:tab/>
      </w:r>
      <w:r>
        <w:rPr>
          <w:rFonts w:ascii="David" w:hAnsi="David"/>
          <w:rtl/>
        </w:rPr>
        <w:t>...</w:t>
      </w:r>
    </w:p>
    <w:p w:rsidR="005E162F" w:rsidRDefault="005E162F" w:rsidP="005E162F">
      <w:pPr>
        <w:spacing w:line="360" w:lineRule="auto"/>
        <w:ind w:left="84" w:firstLine="630"/>
        <w:jc w:val="both"/>
        <w:rPr>
          <w:rFonts w:ascii="David" w:hAnsi="David"/>
          <w:b/>
          <w:bCs/>
          <w:rtl/>
        </w:rPr>
      </w:pPr>
      <w:r>
        <w:rPr>
          <w:rFonts w:ascii="David" w:hAnsi="David"/>
          <w:b/>
          <w:bCs/>
          <w:rtl/>
        </w:rPr>
        <w:t>55.</w:t>
      </w:r>
      <w:r>
        <w:rPr>
          <w:rFonts w:ascii="David" w:hAnsi="David"/>
          <w:b/>
          <w:bCs/>
          <w:rtl/>
        </w:rPr>
        <w:tab/>
      </w:r>
      <w:r>
        <w:rPr>
          <w:rFonts w:ascii="David" w:hAnsi="David"/>
          <w:rtl/>
        </w:rPr>
        <w:t>"...</w:t>
      </w:r>
      <w:r>
        <w:rPr>
          <w:rFonts w:ascii="David" w:hAnsi="David"/>
          <w:b/>
          <w:bCs/>
          <w:rtl/>
        </w:rPr>
        <w:t>להודיע לצדדים ולסגור את התיק.</w:t>
      </w:r>
      <w:r>
        <w:rPr>
          <w:rFonts w:ascii="David" w:hAnsi="David"/>
          <w:rtl/>
        </w:rPr>
        <w:t>"</w:t>
      </w:r>
    </w:p>
    <w:p w:rsidR="005E162F" w:rsidRDefault="005E162F" w:rsidP="005E162F">
      <w:pPr>
        <w:spacing w:line="360" w:lineRule="auto"/>
        <w:ind w:left="84"/>
        <w:jc w:val="both"/>
        <w:rPr>
          <w:rFonts w:ascii="David" w:hAnsi="David"/>
          <w:b/>
          <w:bCs/>
          <w:rtl/>
        </w:rPr>
      </w:pPr>
    </w:p>
    <w:p w:rsidR="005E162F" w:rsidRDefault="005E162F" w:rsidP="005E162F">
      <w:pPr>
        <w:spacing w:line="360" w:lineRule="auto"/>
        <w:ind w:left="84"/>
        <w:jc w:val="both"/>
        <w:rPr>
          <w:rFonts w:ascii="David" w:hAnsi="David"/>
          <w:b/>
          <w:bCs/>
          <w:sz w:val="28"/>
          <w:szCs w:val="28"/>
          <w:rtl/>
        </w:rPr>
      </w:pPr>
      <w:r>
        <w:rPr>
          <w:rFonts w:ascii="David" w:hAnsi="David"/>
          <w:b/>
          <w:bCs/>
          <w:sz w:val="28"/>
          <w:szCs w:val="28"/>
          <w:u w:val="single"/>
          <w:rtl/>
        </w:rPr>
        <w:t>טענות המבקש</w:t>
      </w:r>
      <w:r>
        <w:rPr>
          <w:rFonts w:ascii="David" w:hAnsi="David"/>
          <w:b/>
          <w:bCs/>
          <w:sz w:val="28"/>
          <w:szCs w:val="28"/>
          <w:rtl/>
        </w:rPr>
        <w:t>:</w:t>
      </w:r>
    </w:p>
    <w:p w:rsidR="0042219E" w:rsidRDefault="0042219E" w:rsidP="005E162F">
      <w:pPr>
        <w:spacing w:line="360" w:lineRule="auto"/>
        <w:ind w:left="84"/>
        <w:jc w:val="both"/>
        <w:rPr>
          <w:rFonts w:ascii="David" w:hAnsi="David"/>
          <w:b/>
          <w:bCs/>
          <w:sz w:val="28"/>
          <w:szCs w:val="28"/>
        </w:rPr>
      </w:pPr>
    </w:p>
    <w:p w:rsidR="005E162F" w:rsidRDefault="005E162F" w:rsidP="005E162F">
      <w:pPr>
        <w:spacing w:line="360" w:lineRule="auto"/>
        <w:ind w:left="84" w:firstLine="630"/>
        <w:jc w:val="both"/>
        <w:rPr>
          <w:rFonts w:ascii="David" w:hAnsi="David"/>
          <w:b/>
          <w:bCs/>
          <w:rtl/>
        </w:rPr>
      </w:pPr>
      <w:r>
        <w:rPr>
          <w:rFonts w:ascii="David" w:hAnsi="David"/>
          <w:b/>
          <w:bCs/>
          <w:u w:val="single"/>
          <w:rtl/>
        </w:rPr>
        <w:t>הבקשה הראשונה</w:t>
      </w:r>
      <w:r>
        <w:rPr>
          <w:rFonts w:ascii="David" w:hAnsi="David"/>
          <w:b/>
          <w:bCs/>
          <w:rtl/>
        </w:rPr>
        <w:t>:</w:t>
      </w:r>
    </w:p>
    <w:p w:rsidR="005E162F" w:rsidRDefault="005E162F" w:rsidP="005E162F">
      <w:pPr>
        <w:spacing w:line="360" w:lineRule="auto"/>
        <w:ind w:left="84" w:firstLine="630"/>
        <w:jc w:val="both"/>
        <w:rPr>
          <w:rFonts w:ascii="David" w:hAnsi="David"/>
          <w:b/>
          <w:bCs/>
          <w:rtl/>
        </w:rPr>
      </w:pPr>
    </w:p>
    <w:p w:rsidR="005E162F" w:rsidRDefault="005E162F" w:rsidP="005E162F">
      <w:pPr>
        <w:spacing w:line="360" w:lineRule="auto"/>
        <w:ind w:left="714" w:hanging="630"/>
        <w:jc w:val="both"/>
        <w:rPr>
          <w:rFonts w:ascii="David" w:hAnsi="David"/>
          <w:rtl/>
        </w:rPr>
      </w:pPr>
      <w:r>
        <w:rPr>
          <w:rFonts w:ascii="David" w:hAnsi="David"/>
          <w:rtl/>
        </w:rPr>
        <w:t>8.</w:t>
      </w:r>
      <w:r>
        <w:rPr>
          <w:rFonts w:ascii="David" w:hAnsi="David"/>
          <w:rtl/>
        </w:rPr>
        <w:tab/>
        <w:t>הבקשה הראשונה על פי פקודת ביזיון בית משפט הוגשה ביום 20.8.2024 (להלן-</w:t>
      </w:r>
      <w:r>
        <w:rPr>
          <w:rFonts w:ascii="Miriam" w:hAnsi="Miriam" w:cs="Miriam"/>
          <w:b/>
          <w:bCs/>
          <w:rtl/>
        </w:rPr>
        <w:t>הבקשה</w:t>
      </w:r>
      <w:r>
        <w:rPr>
          <w:rFonts w:ascii="David" w:hAnsi="David"/>
          <w:rtl/>
        </w:rPr>
        <w:t xml:space="preserve"> </w:t>
      </w:r>
      <w:r>
        <w:rPr>
          <w:rFonts w:ascii="Miriam" w:hAnsi="Miriam" w:cs="Miriam"/>
          <w:b/>
          <w:bCs/>
          <w:rtl/>
        </w:rPr>
        <w:t>הראשונה</w:t>
      </w:r>
      <w:r>
        <w:rPr>
          <w:rFonts w:ascii="David" w:hAnsi="David"/>
          <w:rtl/>
        </w:rPr>
        <w:t xml:space="preserve">). בבקשתו הראשונה טען המבקש שלאחר שניתן פסק הדין הוא סולק ע"י המשיבה מהחדר ומהבית באלימות, ותוך פגיעה פיסית. המבקש צירף טבלה של ההפרות לכאורה של פסק הדין. </w:t>
      </w:r>
    </w:p>
    <w:p w:rsidR="005E162F" w:rsidRDefault="005E162F" w:rsidP="005E162F">
      <w:pPr>
        <w:spacing w:line="360" w:lineRule="auto"/>
        <w:ind w:left="714" w:hanging="630"/>
        <w:jc w:val="both"/>
        <w:rPr>
          <w:rFonts w:ascii="David" w:hAnsi="David"/>
          <w:rtl/>
        </w:rPr>
      </w:pPr>
    </w:p>
    <w:p w:rsidR="005E162F" w:rsidRDefault="005E162F" w:rsidP="005E162F">
      <w:pPr>
        <w:spacing w:line="360" w:lineRule="auto"/>
        <w:ind w:left="720"/>
        <w:jc w:val="both"/>
        <w:rPr>
          <w:rFonts w:ascii="David" w:hAnsi="David"/>
          <w:rtl/>
        </w:rPr>
      </w:pPr>
      <w:r>
        <w:rPr>
          <w:rFonts w:ascii="David" w:hAnsi="David"/>
          <w:rtl/>
        </w:rPr>
        <w:t xml:space="preserve">מבלי להקדים המאוחר יאמר שהמעיין בבקשה הראשונה למד שהמבקש התייחס בבקשתו להפרה הנטענת הן ביחס לצו שניתן ביום 1.8.2024 בבקשתו לצו למניעת הטרדה במעמד צד אחד והן לפסק הדין. ברם, החלטה זו תתמקד באירועים נטענים מיום מתן פסק הדין, שכן כל אותם אירועים עובר לנתינתו נבחנו במסגרת פסק הדין וההליכים שהתקיימו עובר לו.  </w:t>
      </w:r>
    </w:p>
    <w:p w:rsidR="005E162F" w:rsidRDefault="005E162F" w:rsidP="005E162F">
      <w:pPr>
        <w:spacing w:line="360" w:lineRule="auto"/>
        <w:ind w:left="714"/>
        <w:jc w:val="both"/>
        <w:rPr>
          <w:rFonts w:ascii="David" w:hAnsi="David"/>
          <w:rtl/>
        </w:rPr>
      </w:pPr>
      <w:r>
        <w:rPr>
          <w:rFonts w:ascii="David" w:hAnsi="David"/>
          <w:rtl/>
        </w:rPr>
        <w:t>טען שמאחר והמשיבה</w:t>
      </w:r>
      <w:r>
        <w:rPr>
          <w:rFonts w:ascii="David" w:hAnsi="David"/>
          <w:b/>
          <w:bCs/>
          <w:rtl/>
        </w:rPr>
        <w:t xml:space="preserve"> </w:t>
      </w:r>
      <w:r>
        <w:rPr>
          <w:rFonts w:ascii="David" w:hAnsi="David"/>
          <w:rtl/>
        </w:rPr>
        <w:t>"...</w:t>
      </w:r>
      <w:r>
        <w:rPr>
          <w:rFonts w:ascii="David" w:hAnsi="David"/>
          <w:b/>
          <w:bCs/>
          <w:rtl/>
        </w:rPr>
        <w:t xml:space="preserve">נכנסת לחדר של המשיב, לא מאפשר לו מקום מוגן ופרטיות, יש לקבוע סנקציות מפני מעשים כאלה" </w:t>
      </w:r>
      <w:r>
        <w:rPr>
          <w:rFonts w:ascii="David" w:hAnsi="David"/>
          <w:rtl/>
        </w:rPr>
        <w:t>(ס' 11 לבקשה הראשונה) המבקש הדגיש שהגיש בקשה להשלמת פסק דין (בבקשה זו ביקש שבית המשפט יאסור על המשיבה להיכנס לחדרו, חדר השינה המשותף להם לשעבר, לאסור על המשיבה לפנות אליו בדברים כלשהם ולאסור על המשיבה לשוחח עליו עם ילדיהם המשותפים) אך בית המשפט דחה בקשתו בקביעה שהוא "</w:t>
      </w:r>
      <w:r>
        <w:rPr>
          <w:rFonts w:ascii="David" w:hAnsi="David"/>
          <w:b/>
          <w:bCs/>
          <w:rtl/>
        </w:rPr>
        <w:t>קם</w:t>
      </w:r>
      <w:r>
        <w:rPr>
          <w:rFonts w:ascii="David" w:hAnsi="David"/>
          <w:rtl/>
        </w:rPr>
        <w:t xml:space="preserve"> </w:t>
      </w:r>
      <w:r>
        <w:rPr>
          <w:rFonts w:ascii="David" w:hAnsi="David"/>
          <w:b/>
          <w:bCs/>
          <w:rtl/>
        </w:rPr>
        <w:t>מכיסאו</w:t>
      </w:r>
      <w:r>
        <w:rPr>
          <w:rFonts w:ascii="David" w:hAnsi="David"/>
          <w:rtl/>
        </w:rPr>
        <w:t xml:space="preserve">". </w:t>
      </w:r>
    </w:p>
    <w:p w:rsidR="005E162F" w:rsidRDefault="005E162F" w:rsidP="005E162F">
      <w:pPr>
        <w:spacing w:line="360" w:lineRule="auto"/>
        <w:ind w:left="714"/>
        <w:jc w:val="both"/>
        <w:rPr>
          <w:rFonts w:ascii="David" w:hAnsi="David"/>
          <w:rtl/>
        </w:rPr>
      </w:pPr>
    </w:p>
    <w:p w:rsidR="005E162F" w:rsidRDefault="005E162F" w:rsidP="005E162F">
      <w:pPr>
        <w:spacing w:line="360" w:lineRule="auto"/>
        <w:ind w:left="714"/>
        <w:jc w:val="both"/>
        <w:rPr>
          <w:rFonts w:ascii="David" w:hAnsi="David"/>
          <w:rtl/>
        </w:rPr>
      </w:pPr>
      <w:r>
        <w:rPr>
          <w:rFonts w:ascii="David" w:hAnsi="David"/>
          <w:rtl/>
        </w:rPr>
        <w:t>עוד טען המבקש שהמשיבה מטרידה אותו ולא מאפשרת לו שגרת חיים. ביקש לקבוע קנס גם לגבי עניין זה, שכן "</w:t>
      </w:r>
      <w:r>
        <w:rPr>
          <w:rFonts w:ascii="David" w:hAnsi="David"/>
          <w:b/>
          <w:bCs/>
          <w:rtl/>
        </w:rPr>
        <w:t>ללא אמירות ברורות ובלי סנקציות ברורות ובלי גבולות ברורים, האישה תמשיך לפגוע במבקש</w:t>
      </w:r>
      <w:r>
        <w:rPr>
          <w:rFonts w:ascii="David" w:hAnsi="David"/>
          <w:rtl/>
        </w:rPr>
        <w:t>,..." (ס' 12 לבקשה הראשונה).</w:t>
      </w:r>
    </w:p>
    <w:p w:rsidR="005E162F" w:rsidRDefault="005E162F" w:rsidP="005E162F">
      <w:pPr>
        <w:spacing w:line="360" w:lineRule="auto"/>
        <w:ind w:left="714"/>
        <w:jc w:val="both"/>
        <w:rPr>
          <w:rFonts w:ascii="David" w:hAnsi="David"/>
          <w:rtl/>
        </w:rPr>
      </w:pPr>
    </w:p>
    <w:p w:rsidR="005E162F" w:rsidRDefault="005E162F" w:rsidP="005E162F">
      <w:pPr>
        <w:spacing w:line="360" w:lineRule="auto"/>
        <w:ind w:left="720" w:hanging="720"/>
        <w:jc w:val="both"/>
        <w:rPr>
          <w:rFonts w:ascii="David" w:hAnsi="David"/>
          <w:rtl/>
        </w:rPr>
      </w:pPr>
      <w:r>
        <w:rPr>
          <w:rFonts w:ascii="David" w:hAnsi="David"/>
          <w:rtl/>
        </w:rPr>
        <w:tab/>
        <w:t>בסיום בקשתו טען ש"...</w:t>
      </w:r>
      <w:r>
        <w:rPr>
          <w:rFonts w:ascii="David" w:hAnsi="David"/>
          <w:b/>
          <w:bCs/>
          <w:rtl/>
        </w:rPr>
        <w:t>לאחר שניתן פסק הדין, האישה הבינה כי היא יכולה לעשות ככל העולה על רוחה, כאילו המבקש הוא אוויר, וסילקה אותו מהחדר, ומהבית באלימות קשה</w:t>
      </w:r>
      <w:r>
        <w:rPr>
          <w:rFonts w:ascii="David" w:hAnsi="David"/>
          <w:rtl/>
        </w:rPr>
        <w:t>" (ס' 15 לבקשה הראשונה).</w:t>
      </w:r>
    </w:p>
    <w:p w:rsidR="005E162F" w:rsidRDefault="005E162F" w:rsidP="005E162F">
      <w:pPr>
        <w:spacing w:line="360" w:lineRule="auto"/>
        <w:ind w:left="720" w:hanging="720"/>
        <w:jc w:val="both"/>
        <w:rPr>
          <w:rFonts w:ascii="David" w:hAnsi="David"/>
          <w:rtl/>
        </w:rPr>
      </w:pPr>
    </w:p>
    <w:p w:rsidR="005E162F" w:rsidRDefault="005E162F" w:rsidP="005E162F">
      <w:pPr>
        <w:spacing w:line="360" w:lineRule="auto"/>
        <w:ind w:left="720"/>
        <w:jc w:val="both"/>
        <w:rPr>
          <w:rFonts w:ascii="David" w:hAnsi="David"/>
          <w:rtl/>
        </w:rPr>
      </w:pPr>
      <w:r>
        <w:rPr>
          <w:rFonts w:ascii="David" w:hAnsi="David"/>
          <w:b/>
          <w:bCs/>
          <w:u w:val="single"/>
          <w:rtl/>
        </w:rPr>
        <w:t>הבקשה השנייה</w:t>
      </w:r>
      <w:r>
        <w:rPr>
          <w:rFonts w:ascii="David" w:hAnsi="David"/>
          <w:rtl/>
        </w:rPr>
        <w:t>:</w:t>
      </w:r>
    </w:p>
    <w:p w:rsidR="005E162F" w:rsidRDefault="005E162F" w:rsidP="005E162F">
      <w:pPr>
        <w:spacing w:line="360" w:lineRule="auto"/>
        <w:ind w:left="720" w:hanging="720"/>
        <w:jc w:val="both"/>
        <w:rPr>
          <w:rFonts w:ascii="David" w:hAnsi="David"/>
          <w:rtl/>
        </w:rPr>
      </w:pPr>
    </w:p>
    <w:p w:rsidR="005E162F" w:rsidRDefault="005E162F" w:rsidP="005E162F">
      <w:pPr>
        <w:spacing w:line="360" w:lineRule="auto"/>
        <w:ind w:left="720" w:hanging="720"/>
        <w:jc w:val="both"/>
        <w:rPr>
          <w:rFonts w:ascii="David" w:hAnsi="David"/>
          <w:rtl/>
        </w:rPr>
      </w:pPr>
      <w:r>
        <w:rPr>
          <w:rFonts w:ascii="David" w:hAnsi="David"/>
          <w:rtl/>
        </w:rPr>
        <w:t>9.</w:t>
      </w:r>
      <w:r>
        <w:rPr>
          <w:rFonts w:ascii="David" w:hAnsi="David"/>
          <w:rtl/>
        </w:rPr>
        <w:tab/>
        <w:t>הבקשה השנייה על פי פקודת ביזיון בית משפט הוגשה ביום 22.8.24 (להלן-</w:t>
      </w:r>
      <w:r>
        <w:rPr>
          <w:rFonts w:ascii="Miriam" w:hAnsi="Miriam" w:cs="Miriam"/>
          <w:b/>
          <w:bCs/>
          <w:rtl/>
        </w:rPr>
        <w:t>הבקשה</w:t>
      </w:r>
      <w:r>
        <w:rPr>
          <w:rFonts w:ascii="David" w:hAnsi="David"/>
          <w:rtl/>
        </w:rPr>
        <w:t xml:space="preserve"> </w:t>
      </w:r>
      <w:r>
        <w:rPr>
          <w:rFonts w:ascii="David" w:hAnsi="David"/>
          <w:b/>
          <w:bCs/>
          <w:rtl/>
        </w:rPr>
        <w:t>השנייה</w:t>
      </w:r>
      <w:r>
        <w:rPr>
          <w:rFonts w:ascii="David" w:hAnsi="David"/>
          <w:rtl/>
        </w:rPr>
        <w:t>). בבקשה השנייה טען המבקש שהמשיבה ניתקה לו את הטלפון הנייד. המבקש ציין שבמשך כל שנות הנישואין הוא היה תלוי באופן מוחלט במבקשת שכן אין לו הכנסה, אין לו עבודה הוא חסר רכוש ואך לאחרונה החל  בהליך לקבלת קצבת נכות.  חרף זאת יום לאחר מתן פסק הדין "...</w:t>
      </w:r>
      <w:r>
        <w:rPr>
          <w:rFonts w:ascii="David" w:hAnsi="David"/>
          <w:b/>
          <w:bCs/>
          <w:rtl/>
        </w:rPr>
        <w:t>ניתקה לו את הסלולרי והותירה אותו בלי טלפון</w:t>
      </w:r>
      <w:r>
        <w:rPr>
          <w:rFonts w:ascii="David" w:hAnsi="David"/>
          <w:rtl/>
        </w:rPr>
        <w:t xml:space="preserve">". </w:t>
      </w:r>
    </w:p>
    <w:p w:rsidR="005E162F" w:rsidRDefault="005E162F" w:rsidP="005E162F">
      <w:pPr>
        <w:spacing w:line="360" w:lineRule="auto"/>
        <w:ind w:left="720" w:hanging="720"/>
        <w:jc w:val="both"/>
        <w:rPr>
          <w:rFonts w:ascii="David" w:hAnsi="David"/>
          <w:rtl/>
        </w:rPr>
      </w:pPr>
    </w:p>
    <w:p w:rsidR="005E162F" w:rsidRDefault="005E162F" w:rsidP="005E162F">
      <w:pPr>
        <w:spacing w:line="360" w:lineRule="auto"/>
        <w:ind w:left="720" w:hanging="720"/>
        <w:jc w:val="both"/>
        <w:rPr>
          <w:rFonts w:ascii="David" w:hAnsi="David"/>
          <w:rtl/>
        </w:rPr>
      </w:pPr>
      <w:r>
        <w:rPr>
          <w:rFonts w:ascii="David" w:hAnsi="David"/>
          <w:rtl/>
        </w:rPr>
        <w:tab/>
        <w:t>עוד טען שערב הגשת הבקשה השנייה עת שב הביתה גילה שהמשיבה החליפה מנעולים בדלת הכניסה ובכך מונעת את כניסתו ובעשותה כן היא מפרה את פסק הדין. על כן ביקש לחייב אותה "</w:t>
      </w:r>
      <w:r>
        <w:rPr>
          <w:rFonts w:ascii="David" w:hAnsi="David"/>
          <w:b/>
          <w:bCs/>
          <w:rtl/>
        </w:rPr>
        <w:t>בקנס של 5,000 ₪ לטובת אוצר המדינה ועוד 5,000 ₪ לטובת המשיב עבור כל 24 שעות בהן היא לא מוסרת למבקש את מפתח הכניסה</w:t>
      </w:r>
      <w:r>
        <w:rPr>
          <w:rFonts w:ascii="David" w:hAnsi="David"/>
          <w:rtl/>
        </w:rPr>
        <w:t xml:space="preserve">".  </w:t>
      </w:r>
    </w:p>
    <w:p w:rsidR="005E162F" w:rsidRDefault="005E162F" w:rsidP="005E162F">
      <w:pPr>
        <w:spacing w:line="360" w:lineRule="auto"/>
        <w:ind w:left="720" w:hanging="720"/>
        <w:jc w:val="both"/>
        <w:rPr>
          <w:rFonts w:ascii="David" w:hAnsi="David"/>
          <w:rtl/>
        </w:rPr>
      </w:pPr>
    </w:p>
    <w:p w:rsidR="005E162F" w:rsidRDefault="005E162F" w:rsidP="005E162F">
      <w:pPr>
        <w:spacing w:line="360" w:lineRule="auto"/>
        <w:ind w:left="720" w:hanging="720"/>
        <w:jc w:val="both"/>
        <w:rPr>
          <w:rFonts w:ascii="David" w:hAnsi="David"/>
          <w:b/>
          <w:bCs/>
          <w:sz w:val="28"/>
          <w:szCs w:val="28"/>
          <w:rtl/>
        </w:rPr>
      </w:pPr>
      <w:r>
        <w:rPr>
          <w:rFonts w:ascii="David" w:hAnsi="David"/>
          <w:b/>
          <w:bCs/>
          <w:sz w:val="28"/>
          <w:szCs w:val="28"/>
          <w:u w:val="single"/>
          <w:rtl/>
        </w:rPr>
        <w:lastRenderedPageBreak/>
        <w:t>טענות המשיבה</w:t>
      </w:r>
      <w:r>
        <w:rPr>
          <w:rFonts w:ascii="David" w:hAnsi="David"/>
          <w:b/>
          <w:bCs/>
          <w:sz w:val="28"/>
          <w:szCs w:val="28"/>
          <w:rtl/>
        </w:rPr>
        <w:t>:</w:t>
      </w:r>
    </w:p>
    <w:p w:rsidR="005E162F" w:rsidRDefault="005E162F" w:rsidP="005E162F">
      <w:pPr>
        <w:spacing w:line="360" w:lineRule="auto"/>
        <w:ind w:left="720" w:hanging="720"/>
        <w:jc w:val="both"/>
        <w:rPr>
          <w:rFonts w:ascii="David" w:hAnsi="David"/>
          <w:rtl/>
        </w:rPr>
      </w:pPr>
    </w:p>
    <w:p w:rsidR="005E162F" w:rsidRDefault="005E162F" w:rsidP="005E162F">
      <w:pPr>
        <w:spacing w:line="360" w:lineRule="auto"/>
        <w:ind w:left="720" w:hanging="720"/>
        <w:jc w:val="both"/>
        <w:rPr>
          <w:rFonts w:ascii="David" w:hAnsi="David"/>
          <w:rtl/>
        </w:rPr>
      </w:pPr>
      <w:r>
        <w:rPr>
          <w:rFonts w:ascii="David" w:hAnsi="David"/>
          <w:rtl/>
        </w:rPr>
        <w:t>10.</w:t>
      </w:r>
      <w:r>
        <w:rPr>
          <w:rFonts w:ascii="David" w:hAnsi="David"/>
          <w:rtl/>
        </w:rPr>
        <w:tab/>
        <w:t>המשיבה השיבה לשתי הבקשות באותה תגובה אשר הוגשה ביום 26.8.2024 (להלן-</w:t>
      </w:r>
      <w:r>
        <w:rPr>
          <w:rFonts w:ascii="Miriam" w:hAnsi="Miriam" w:cs="Miriam"/>
          <w:b/>
          <w:bCs/>
          <w:rtl/>
        </w:rPr>
        <w:t>התגובה</w:t>
      </w:r>
      <w:r>
        <w:rPr>
          <w:rFonts w:ascii="David" w:hAnsi="David"/>
          <w:rtl/>
        </w:rPr>
        <w:t xml:space="preserve">). </w:t>
      </w:r>
    </w:p>
    <w:p w:rsidR="0042219E" w:rsidRDefault="0042219E" w:rsidP="005E162F">
      <w:pPr>
        <w:spacing w:line="360" w:lineRule="auto"/>
        <w:ind w:left="720" w:hanging="720"/>
        <w:jc w:val="both"/>
        <w:rPr>
          <w:rFonts w:ascii="David" w:hAnsi="David"/>
          <w:rtl/>
        </w:rPr>
      </w:pPr>
    </w:p>
    <w:p w:rsidR="005E162F" w:rsidRDefault="005E162F" w:rsidP="005E162F">
      <w:pPr>
        <w:spacing w:line="360" w:lineRule="auto"/>
        <w:ind w:left="720" w:hanging="720"/>
        <w:jc w:val="both"/>
        <w:rPr>
          <w:rFonts w:ascii="David" w:hAnsi="David"/>
          <w:rtl/>
        </w:rPr>
      </w:pPr>
      <w:r>
        <w:rPr>
          <w:rFonts w:ascii="David" w:hAnsi="David"/>
          <w:rtl/>
        </w:rPr>
        <w:tab/>
      </w:r>
      <w:r>
        <w:rPr>
          <w:rFonts w:ascii="David" w:hAnsi="David"/>
          <w:b/>
          <w:bCs/>
          <w:u w:val="single"/>
          <w:rtl/>
        </w:rPr>
        <w:t>הבקשה הראשונה</w:t>
      </w:r>
      <w:r>
        <w:rPr>
          <w:rFonts w:ascii="David" w:hAnsi="David"/>
          <w:rtl/>
        </w:rPr>
        <w:t>:</w:t>
      </w:r>
    </w:p>
    <w:p w:rsidR="005E162F" w:rsidRDefault="005E162F" w:rsidP="005E162F">
      <w:pPr>
        <w:spacing w:line="360" w:lineRule="auto"/>
        <w:ind w:left="720" w:hanging="720"/>
        <w:jc w:val="both"/>
        <w:rPr>
          <w:rFonts w:ascii="David" w:hAnsi="David"/>
          <w:rtl/>
        </w:rPr>
      </w:pPr>
    </w:p>
    <w:p w:rsidR="005E162F" w:rsidRDefault="005E162F" w:rsidP="005E162F">
      <w:pPr>
        <w:spacing w:line="360" w:lineRule="auto"/>
        <w:ind w:left="720" w:hanging="720"/>
        <w:jc w:val="both"/>
        <w:rPr>
          <w:rFonts w:ascii="David" w:hAnsi="David"/>
          <w:rtl/>
        </w:rPr>
      </w:pPr>
      <w:r>
        <w:rPr>
          <w:rFonts w:ascii="David" w:hAnsi="David"/>
          <w:rtl/>
        </w:rPr>
        <w:t>11.</w:t>
      </w:r>
      <w:r>
        <w:rPr>
          <w:rFonts w:ascii="David" w:hAnsi="David"/>
          <w:rtl/>
        </w:rPr>
        <w:tab/>
        <w:t xml:space="preserve">דינה להידחות על הסף הן מהטעם הפרוצדורלי שעה שהבקשה לא נתמכה בתצהיר כנדרש והן מבחינה מהותית שעה שרוב רובם של אותם אירועים לגביהם טען המבקש שיש לו הקלטות וסרטונים  אירעו בתקופה טרם מתן פסק הדין. </w:t>
      </w:r>
    </w:p>
    <w:p w:rsidR="005E162F" w:rsidRDefault="005E162F" w:rsidP="005E162F">
      <w:pPr>
        <w:spacing w:line="360" w:lineRule="auto"/>
        <w:ind w:left="720" w:hanging="720"/>
        <w:jc w:val="both"/>
        <w:rPr>
          <w:rFonts w:ascii="David" w:hAnsi="David"/>
          <w:rtl/>
        </w:rPr>
      </w:pPr>
    </w:p>
    <w:p w:rsidR="005E162F" w:rsidRDefault="005E162F" w:rsidP="005E162F">
      <w:pPr>
        <w:spacing w:line="360" w:lineRule="auto"/>
        <w:ind w:left="720" w:hanging="720"/>
        <w:jc w:val="both"/>
        <w:rPr>
          <w:rFonts w:ascii="David" w:hAnsi="David"/>
          <w:rtl/>
        </w:rPr>
      </w:pPr>
      <w:r>
        <w:rPr>
          <w:rFonts w:ascii="David" w:hAnsi="David"/>
          <w:rtl/>
        </w:rPr>
        <w:tab/>
        <w:t>המשיבה הפנתה לסעיף 46 בפסק הדין בו, כזכור, מתח השופט שמואל ביקורת על המבקש והתנהלותו שעה שהחליט לשוב הביתה. המשיבה כינתה הדברים "</w:t>
      </w:r>
      <w:r>
        <w:rPr>
          <w:rFonts w:ascii="David" w:hAnsi="David"/>
          <w:b/>
          <w:bCs/>
          <w:rtl/>
        </w:rPr>
        <w:t>דברים כדורבנות</w:t>
      </w:r>
      <w:r>
        <w:rPr>
          <w:rFonts w:ascii="David" w:hAnsi="David"/>
          <w:rtl/>
        </w:rPr>
        <w:t xml:space="preserve">" המעידים על דרכו של המבקש. בהסתמך על חליפת מיילים בין בא כוחה לבא כוחו של המבקש  והתכתבויות ביניהם טענה שהמבקש הונחה לנהוג כך על ידי בא כוחו. טענה שהמבקש הוא זה שנוהג בחוסר תום לב ודי בבקשתו לחייב אותה בקנס  כאשר היא המפרנסת היחידה כדי להעיד עליה. </w:t>
      </w:r>
    </w:p>
    <w:p w:rsidR="005E162F" w:rsidRDefault="005E162F" w:rsidP="005E162F">
      <w:pPr>
        <w:spacing w:line="360" w:lineRule="auto"/>
        <w:ind w:left="720" w:hanging="720"/>
        <w:jc w:val="both"/>
        <w:rPr>
          <w:rFonts w:ascii="David" w:hAnsi="David"/>
          <w:rtl/>
        </w:rPr>
      </w:pPr>
    </w:p>
    <w:p w:rsidR="005E162F" w:rsidRDefault="005E162F" w:rsidP="005E162F">
      <w:pPr>
        <w:spacing w:line="360" w:lineRule="auto"/>
        <w:ind w:left="720"/>
        <w:jc w:val="both"/>
        <w:rPr>
          <w:rFonts w:ascii="David" w:hAnsi="David"/>
          <w:b/>
          <w:bCs/>
          <w:rtl/>
        </w:rPr>
      </w:pPr>
      <w:r>
        <w:rPr>
          <w:rFonts w:ascii="David" w:hAnsi="David"/>
          <w:b/>
          <w:bCs/>
          <w:u w:val="single"/>
          <w:rtl/>
        </w:rPr>
        <w:t>הבקשה השנייה</w:t>
      </w:r>
      <w:r>
        <w:rPr>
          <w:rFonts w:ascii="David" w:hAnsi="David"/>
          <w:b/>
          <w:bCs/>
          <w:rtl/>
        </w:rPr>
        <w:t>:</w:t>
      </w:r>
    </w:p>
    <w:p w:rsidR="005E162F" w:rsidRDefault="005E162F" w:rsidP="005E162F">
      <w:pPr>
        <w:spacing w:line="360" w:lineRule="auto"/>
        <w:ind w:left="720"/>
        <w:jc w:val="both"/>
        <w:rPr>
          <w:rFonts w:ascii="David" w:hAnsi="David"/>
          <w:b/>
          <w:bCs/>
          <w:rtl/>
        </w:rPr>
      </w:pPr>
    </w:p>
    <w:p w:rsidR="005E162F" w:rsidRDefault="005E162F" w:rsidP="005E162F">
      <w:pPr>
        <w:spacing w:line="360" w:lineRule="auto"/>
        <w:ind w:left="714" w:hanging="630"/>
        <w:jc w:val="both"/>
        <w:rPr>
          <w:rFonts w:ascii="David" w:hAnsi="David"/>
          <w:b/>
          <w:bCs/>
          <w:rtl/>
        </w:rPr>
      </w:pPr>
      <w:r>
        <w:rPr>
          <w:rFonts w:ascii="David" w:hAnsi="David"/>
          <w:rtl/>
        </w:rPr>
        <w:lastRenderedPageBreak/>
        <w:t>12.</w:t>
      </w:r>
      <w:r>
        <w:rPr>
          <w:rFonts w:ascii="David" w:hAnsi="David"/>
          <w:rtl/>
        </w:rPr>
        <w:tab/>
        <w:t xml:space="preserve">עיקר טענתה של המשיבה בתגובתה לבקשה השנייה אשר מקרינה בהכרח על המחלוקת היא ש </w:t>
      </w:r>
      <w:r>
        <w:rPr>
          <w:rFonts w:ascii="David" w:hAnsi="David"/>
          <w:b/>
          <w:bCs/>
          <w:rtl/>
        </w:rPr>
        <w:t xml:space="preserve">"...אין פסק דין או צו המחייב את המשיבה לאפשר למבקש להתגורר בבית שבבעלותה הבלעדית (צו המניעה הזמני בוטל בפסק דינו של כב' ביהמ"ש מיום 17.8.2024) </w:t>
      </w:r>
      <w:r>
        <w:rPr>
          <w:rFonts w:ascii="David" w:hAnsi="David"/>
          <w:rtl/>
        </w:rPr>
        <w:t xml:space="preserve">[...] </w:t>
      </w:r>
      <w:r>
        <w:rPr>
          <w:rFonts w:ascii="David" w:hAnsi="David"/>
          <w:b/>
          <w:bCs/>
          <w:rtl/>
        </w:rPr>
        <w:t>אלא שניסיונו של המבקש להיכנס לבית, כאשר ידע שהמשיבה נמצאת מחוץ לבית, הוא ניסיון להשגת גבול שלא כדין והוא נוגד את האמור בפסק הדין. גם הנימוק שעסקינן במאובחן על הרצף אוטיסטי בתפקוד גבוה וגם העובדה שאינו עובד ואין לו הכנסה, נדחתה ע"י כבוד ביה"מ בפסק דינו, כנימוק לשוב ולהתגורר בבית.</w:t>
      </w:r>
      <w:r>
        <w:rPr>
          <w:rFonts w:ascii="David" w:hAnsi="David"/>
          <w:rtl/>
        </w:rPr>
        <w:t>"</w:t>
      </w:r>
    </w:p>
    <w:p w:rsidR="005E162F" w:rsidRDefault="005E162F" w:rsidP="005E162F">
      <w:pPr>
        <w:spacing w:line="360" w:lineRule="auto"/>
        <w:ind w:left="84"/>
        <w:jc w:val="both"/>
        <w:rPr>
          <w:rFonts w:ascii="David" w:hAnsi="David"/>
          <w:b/>
          <w:bCs/>
          <w:rtl/>
        </w:rPr>
      </w:pPr>
    </w:p>
    <w:p w:rsidR="005E162F" w:rsidRDefault="005E162F" w:rsidP="005E162F">
      <w:pPr>
        <w:spacing w:line="360" w:lineRule="auto"/>
        <w:ind w:left="714"/>
        <w:jc w:val="both"/>
        <w:rPr>
          <w:rFonts w:ascii="David" w:hAnsi="David"/>
          <w:rtl/>
        </w:rPr>
      </w:pPr>
      <w:r>
        <w:rPr>
          <w:rFonts w:ascii="David" w:hAnsi="David"/>
          <w:rtl/>
        </w:rPr>
        <w:t>המשיבה טענה שהזכויות הקנייניות בבית הן הזכויות שלה והפנתה להתחייבות המבקש שלא לתבוע לעצמו זכויות בבית ככל שיתגרשו הצדדים.</w:t>
      </w:r>
    </w:p>
    <w:p w:rsidR="005E162F" w:rsidRDefault="005E162F" w:rsidP="005E162F">
      <w:pPr>
        <w:spacing w:line="360" w:lineRule="auto"/>
        <w:ind w:left="714"/>
        <w:jc w:val="both"/>
        <w:rPr>
          <w:rFonts w:ascii="David" w:hAnsi="David"/>
          <w:rtl/>
        </w:rPr>
      </w:pPr>
    </w:p>
    <w:p w:rsidR="005E162F" w:rsidRDefault="005E162F" w:rsidP="005E162F">
      <w:pPr>
        <w:spacing w:line="360" w:lineRule="auto"/>
        <w:ind w:left="714"/>
        <w:jc w:val="both"/>
        <w:rPr>
          <w:rFonts w:ascii="David" w:hAnsi="David"/>
          <w:rtl/>
        </w:rPr>
      </w:pPr>
      <w:r>
        <w:rPr>
          <w:rFonts w:ascii="David" w:hAnsi="David"/>
          <w:rtl/>
        </w:rPr>
        <w:t>המשיבה יצקה למועד פרסום פסק הדין במוצאי שבת פרשנות  מהותית וטענה שמשעה שפסק הדין "...</w:t>
      </w:r>
      <w:r>
        <w:rPr>
          <w:rFonts w:ascii="David" w:hAnsi="David"/>
          <w:b/>
          <w:bCs/>
          <w:rtl/>
        </w:rPr>
        <w:t>פורסם באינטרנט</w:t>
      </w:r>
      <w:r>
        <w:rPr>
          <w:rFonts w:ascii="David" w:hAnsi="David"/>
          <w:rtl/>
        </w:rPr>
        <w:t xml:space="preserve"> (?!-מ.ל) </w:t>
      </w:r>
      <w:r>
        <w:rPr>
          <w:rFonts w:ascii="David" w:hAnsi="David"/>
          <w:b/>
          <w:bCs/>
          <w:rtl/>
        </w:rPr>
        <w:t>במוצאי שבת, ללמדך, כי כב' ביה"מ סבר, כי ככל שהצדדים יפרידו כוחות ולא יחיו תחת קורת גג אחת-כן ייטב</w:t>
      </w:r>
      <w:r>
        <w:rPr>
          <w:rFonts w:ascii="David" w:hAnsi="David"/>
          <w:rtl/>
        </w:rPr>
        <w:t xml:space="preserve">". נפלא מבינתי ההיקש הלוגי בין מועד הפרסום לפרשנות של המשיבה. </w:t>
      </w:r>
    </w:p>
    <w:p w:rsidR="005E162F" w:rsidRDefault="005E162F" w:rsidP="005E162F">
      <w:pPr>
        <w:spacing w:line="360" w:lineRule="auto"/>
        <w:ind w:left="714"/>
        <w:jc w:val="both"/>
        <w:rPr>
          <w:rFonts w:ascii="David" w:hAnsi="David"/>
          <w:rtl/>
        </w:rPr>
      </w:pPr>
    </w:p>
    <w:p w:rsidR="005E162F" w:rsidRDefault="005E162F" w:rsidP="005E162F">
      <w:pPr>
        <w:spacing w:line="360" w:lineRule="auto"/>
        <w:ind w:left="714"/>
        <w:jc w:val="both"/>
        <w:rPr>
          <w:rFonts w:ascii="David" w:hAnsi="David"/>
          <w:rtl/>
        </w:rPr>
      </w:pPr>
      <w:r>
        <w:rPr>
          <w:rFonts w:ascii="David" w:hAnsi="David"/>
          <w:rtl/>
        </w:rPr>
        <w:t xml:space="preserve">אקדים ראשית לאחרית ואומר שחזקה שככל שרצה כבוד השופט שמואל לקבוע או להורות הוא היה יודע לבחור את מילותיו על מנת שדבריו יובנו ברוח החלטתו ולא על ידי פרשנויות. </w:t>
      </w:r>
    </w:p>
    <w:p w:rsidR="005E162F" w:rsidRDefault="005E162F" w:rsidP="005E162F">
      <w:pPr>
        <w:spacing w:line="360" w:lineRule="auto"/>
        <w:ind w:left="714"/>
        <w:jc w:val="both"/>
        <w:rPr>
          <w:rFonts w:ascii="David" w:hAnsi="David"/>
          <w:rtl/>
        </w:rPr>
      </w:pPr>
    </w:p>
    <w:p w:rsidR="005E162F" w:rsidRDefault="005E162F" w:rsidP="005E162F">
      <w:pPr>
        <w:spacing w:line="360" w:lineRule="auto"/>
        <w:ind w:left="714"/>
        <w:jc w:val="both"/>
        <w:rPr>
          <w:rFonts w:ascii="David" w:hAnsi="David"/>
          <w:rtl/>
        </w:rPr>
      </w:pPr>
      <w:r>
        <w:rPr>
          <w:rFonts w:ascii="David" w:hAnsi="David"/>
          <w:rtl/>
        </w:rPr>
        <w:t xml:space="preserve">קביעה זו תובהר שנית שבכך מתמצה הדיון – משמעות אמירה או אי אמירה בפסק הדין.    </w:t>
      </w:r>
    </w:p>
    <w:p w:rsidR="005E162F" w:rsidRDefault="005E162F" w:rsidP="005E162F">
      <w:pPr>
        <w:spacing w:line="360" w:lineRule="auto"/>
        <w:ind w:left="714"/>
        <w:jc w:val="both"/>
        <w:rPr>
          <w:rFonts w:ascii="David" w:hAnsi="David"/>
          <w:b/>
          <w:bCs/>
          <w:rtl/>
        </w:rPr>
      </w:pPr>
    </w:p>
    <w:p w:rsidR="005E162F" w:rsidRDefault="005E162F" w:rsidP="005E162F">
      <w:pPr>
        <w:spacing w:line="360" w:lineRule="auto"/>
        <w:ind w:left="714"/>
        <w:jc w:val="both"/>
        <w:rPr>
          <w:rFonts w:ascii="David" w:hAnsi="David"/>
          <w:rtl/>
        </w:rPr>
      </w:pPr>
      <w:r>
        <w:rPr>
          <w:rFonts w:ascii="David" w:hAnsi="David"/>
          <w:rtl/>
        </w:rPr>
        <w:lastRenderedPageBreak/>
        <w:t xml:space="preserve">המשיבה האריכה בתגובתה בתיאור החיים של הצדדים, במענה לאירועים שהועלו בטבלה של המבקש בבקשה הראשונה. האירועים המתוארים באותה טבלה כמו גם ההתייחסות אליהם אינה רלוונטית להחלטה זו מקל וחומר לאור טיעוני המשיבה עצמה שאלו נושאים תאריך שלפני  מתן פסק הדין. </w:t>
      </w:r>
    </w:p>
    <w:p w:rsidR="005E162F" w:rsidRDefault="005E162F" w:rsidP="005E162F">
      <w:pPr>
        <w:spacing w:line="360" w:lineRule="auto"/>
        <w:ind w:left="714"/>
        <w:jc w:val="both"/>
        <w:rPr>
          <w:rFonts w:ascii="David" w:hAnsi="David"/>
          <w:rtl/>
        </w:rPr>
      </w:pPr>
    </w:p>
    <w:p w:rsidR="005E162F" w:rsidRDefault="005E162F" w:rsidP="005E162F">
      <w:pPr>
        <w:spacing w:line="360" w:lineRule="auto"/>
        <w:ind w:left="714"/>
        <w:jc w:val="both"/>
        <w:rPr>
          <w:rFonts w:ascii="David" w:hAnsi="David"/>
          <w:rtl/>
        </w:rPr>
      </w:pPr>
      <w:r>
        <w:rPr>
          <w:rFonts w:ascii="David" w:hAnsi="David"/>
          <w:rtl/>
        </w:rPr>
        <w:t xml:space="preserve">כך, המחלוקת בין הצדדים באשר להסדרי שהות וקשר בין הילדים (ס' 23-21 לתגובה), מצבו הכלכלי האמיתי של המבקש (ס' 25-24 לתגובה) אינם מעניינה של החלטה זו, הגם שכאמור שני הצדדים התייחסו לכך הן בבקשה והן בתגובה לה.    </w:t>
      </w:r>
    </w:p>
    <w:p w:rsidR="005E162F" w:rsidRDefault="005E162F" w:rsidP="005E162F">
      <w:pPr>
        <w:spacing w:line="360" w:lineRule="auto"/>
        <w:ind w:left="714"/>
        <w:jc w:val="both"/>
        <w:rPr>
          <w:rFonts w:ascii="David" w:hAnsi="David"/>
          <w:b/>
          <w:bCs/>
          <w:rtl/>
        </w:rPr>
      </w:pPr>
    </w:p>
    <w:p w:rsidR="005E162F" w:rsidRDefault="005E162F" w:rsidP="005E162F">
      <w:pPr>
        <w:spacing w:line="360" w:lineRule="auto"/>
        <w:ind w:left="714"/>
        <w:jc w:val="both"/>
        <w:rPr>
          <w:rFonts w:ascii="David" w:hAnsi="David"/>
          <w:b/>
          <w:bCs/>
          <w:rtl/>
        </w:rPr>
      </w:pPr>
      <w:r>
        <w:rPr>
          <w:rFonts w:ascii="David" w:hAnsi="David"/>
          <w:rtl/>
        </w:rPr>
        <w:t>המשיבה הפנתה לנספחים (9-8) לתגובה מהם עולה שהיא הודיעה למבקש שנגמרה לה החבילה ובחידוש החבילה לא כללה אותו ואם</w:t>
      </w:r>
      <w:r>
        <w:rPr>
          <w:rFonts w:ascii="David" w:hAnsi="David"/>
          <w:b/>
          <w:bCs/>
          <w:rtl/>
        </w:rPr>
        <w:t xml:space="preserve"> "...יבקש להתחבר, יוכל לקבל את אותו מספר, ואף שלחה לו לינק להעברת בעלות". </w:t>
      </w:r>
      <w:r>
        <w:rPr>
          <w:rFonts w:ascii="David" w:hAnsi="David"/>
          <w:rtl/>
        </w:rPr>
        <w:t>המבקש העלים הודעות דוא"ל אלו מבית המשפט.</w:t>
      </w:r>
      <w:r>
        <w:rPr>
          <w:rFonts w:ascii="David" w:hAnsi="David"/>
          <w:b/>
          <w:bCs/>
          <w:rtl/>
        </w:rPr>
        <w:t xml:space="preserve">   </w:t>
      </w:r>
    </w:p>
    <w:p w:rsidR="005E162F" w:rsidRDefault="005E162F" w:rsidP="005E162F">
      <w:pPr>
        <w:spacing w:line="360" w:lineRule="auto"/>
        <w:ind w:left="714"/>
        <w:jc w:val="both"/>
        <w:rPr>
          <w:rFonts w:ascii="David" w:hAnsi="David"/>
          <w:b/>
          <w:bCs/>
          <w:rtl/>
        </w:rPr>
      </w:pPr>
    </w:p>
    <w:p w:rsidR="005E162F" w:rsidRDefault="005E162F" w:rsidP="005E162F">
      <w:pPr>
        <w:spacing w:line="360" w:lineRule="auto"/>
        <w:ind w:left="714" w:hanging="630"/>
        <w:jc w:val="both"/>
        <w:rPr>
          <w:rFonts w:ascii="David" w:hAnsi="David"/>
          <w:rtl/>
        </w:rPr>
      </w:pPr>
      <w:r>
        <w:rPr>
          <w:rFonts w:ascii="David" w:hAnsi="David"/>
          <w:rtl/>
        </w:rPr>
        <w:t>13.</w:t>
      </w:r>
      <w:r>
        <w:rPr>
          <w:rFonts w:ascii="David" w:hAnsi="David"/>
          <w:rtl/>
        </w:rPr>
        <w:tab/>
        <w:t>אמור מעתה שטענתה העיקרית של המבקשת נסמכת על שני אדנים: האחד, היא בעלת הבית וברצותה תחליט אם המבקש יוכל להתגורר בבית אם לאו הגם שהוא בעלה שחי אתה בבית זה משך שנים עד לפרוץ הסכסוך. השני, הנגזר מתובנה זו שלה שאין כל צו או פסק דין המורה לה לנהוג אחרת,  לשנות מהבנתה זו ועל כן אין כל הפרה מצידה  גם שעה שהחליפה מנעול ומנעה את כניסתו לבית.</w:t>
      </w:r>
    </w:p>
    <w:p w:rsidR="005E162F" w:rsidRDefault="005E162F" w:rsidP="005E162F">
      <w:pPr>
        <w:spacing w:line="360" w:lineRule="auto"/>
        <w:ind w:left="84"/>
        <w:jc w:val="both"/>
        <w:rPr>
          <w:rFonts w:ascii="David" w:hAnsi="David"/>
          <w:rtl/>
        </w:rPr>
      </w:pPr>
    </w:p>
    <w:p w:rsidR="005E162F" w:rsidRDefault="005E162F" w:rsidP="005E162F">
      <w:pPr>
        <w:spacing w:line="360" w:lineRule="auto"/>
        <w:ind w:left="84"/>
        <w:jc w:val="both"/>
        <w:rPr>
          <w:rFonts w:ascii="David" w:hAnsi="David"/>
          <w:b/>
          <w:bCs/>
          <w:sz w:val="28"/>
          <w:szCs w:val="28"/>
          <w:rtl/>
        </w:rPr>
      </w:pPr>
      <w:r>
        <w:rPr>
          <w:rFonts w:ascii="David" w:hAnsi="David"/>
          <w:b/>
          <w:bCs/>
          <w:sz w:val="28"/>
          <w:szCs w:val="28"/>
          <w:u w:val="single"/>
          <w:rtl/>
        </w:rPr>
        <w:t>הדיון בבית המשפט</w:t>
      </w:r>
      <w:r>
        <w:rPr>
          <w:rFonts w:ascii="David" w:hAnsi="David"/>
          <w:b/>
          <w:bCs/>
          <w:sz w:val="28"/>
          <w:szCs w:val="28"/>
          <w:rtl/>
        </w:rPr>
        <w:t>:</w:t>
      </w:r>
    </w:p>
    <w:p w:rsidR="005E162F" w:rsidRDefault="005E162F" w:rsidP="005E162F">
      <w:pPr>
        <w:spacing w:line="360" w:lineRule="auto"/>
        <w:ind w:left="84"/>
        <w:jc w:val="both"/>
        <w:rPr>
          <w:rFonts w:ascii="David" w:hAnsi="David"/>
          <w:b/>
          <w:bCs/>
          <w:sz w:val="28"/>
          <w:szCs w:val="28"/>
          <w:rtl/>
        </w:rPr>
      </w:pPr>
    </w:p>
    <w:p w:rsidR="005E162F" w:rsidRDefault="005E162F" w:rsidP="005E162F">
      <w:pPr>
        <w:spacing w:line="360" w:lineRule="auto"/>
        <w:ind w:left="714" w:hanging="630"/>
        <w:jc w:val="both"/>
        <w:rPr>
          <w:rFonts w:ascii="David" w:hAnsi="David"/>
          <w:rtl/>
        </w:rPr>
      </w:pPr>
      <w:r>
        <w:rPr>
          <w:rFonts w:ascii="David" w:hAnsi="David"/>
          <w:rtl/>
        </w:rPr>
        <w:lastRenderedPageBreak/>
        <w:t>14.</w:t>
      </w:r>
      <w:r>
        <w:rPr>
          <w:rFonts w:ascii="David" w:hAnsi="David"/>
          <w:rtl/>
        </w:rPr>
        <w:tab/>
        <w:t xml:space="preserve">ביום 1.9.2024 במסגרת תורנות התקיים לפני דיון בשתי הבקשות.  ככלל המבקש חזר על טיעוניו. עם זאת בדיון התברר שבין לבין ביום 29.8.2024 היה אירוע נוסף בו הייתה מעורבת המשטרה שהתרחש בבית הורי המבקש והתוצאה הייתה הרחקה של המבקש מהמשיבה והבית למשך 14 יום והמשיבה הורחקה לאותה תקופה מבית הוריו. </w:t>
      </w:r>
    </w:p>
    <w:p w:rsidR="005E162F" w:rsidRDefault="005E162F" w:rsidP="005E162F">
      <w:pPr>
        <w:spacing w:line="360" w:lineRule="auto"/>
        <w:ind w:left="714" w:hanging="630"/>
        <w:jc w:val="both"/>
        <w:rPr>
          <w:rFonts w:ascii="David" w:hAnsi="David"/>
          <w:rtl/>
        </w:rPr>
      </w:pPr>
    </w:p>
    <w:p w:rsidR="005E162F" w:rsidRDefault="005E162F" w:rsidP="005E162F">
      <w:pPr>
        <w:spacing w:line="360" w:lineRule="auto"/>
        <w:ind w:left="714"/>
        <w:jc w:val="both"/>
        <w:rPr>
          <w:rFonts w:ascii="David" w:hAnsi="David"/>
          <w:b/>
          <w:bCs/>
          <w:rtl/>
        </w:rPr>
      </w:pPr>
      <w:r>
        <w:rPr>
          <w:rFonts w:ascii="David" w:hAnsi="David"/>
          <w:rtl/>
        </w:rPr>
        <w:t xml:space="preserve">בדיון טען בא כוחה של המשיבה </w:t>
      </w:r>
      <w:r>
        <w:rPr>
          <w:rFonts w:ascii="David" w:hAnsi="David"/>
          <w:b/>
          <w:bCs/>
          <w:rtl/>
        </w:rPr>
        <w:t xml:space="preserve"> "השופט לא אמר שמותר לו לחזור וגם לא אמר שאסור לו היה צו ובוטל </w:t>
      </w:r>
      <w:r>
        <w:rPr>
          <w:rFonts w:ascii="David" w:hAnsi="David"/>
          <w:rtl/>
        </w:rPr>
        <w:t xml:space="preserve">[...] </w:t>
      </w:r>
      <w:r>
        <w:rPr>
          <w:rFonts w:ascii="David" w:hAnsi="David"/>
          <w:b/>
          <w:bCs/>
          <w:rtl/>
        </w:rPr>
        <w:t xml:space="preserve">בית המשפט אמר במפורש שהוא לא היה בבית שלא ראוי שהוא יחזור [...] פסק הדין אומר שהוא לא יחזור הביתה </w:t>
      </w:r>
      <w:r>
        <w:rPr>
          <w:rFonts w:ascii="David" w:hAnsi="David"/>
          <w:rtl/>
        </w:rPr>
        <w:t>[...]</w:t>
      </w:r>
      <w:r>
        <w:rPr>
          <w:rFonts w:ascii="David" w:hAnsi="David"/>
          <w:b/>
          <w:bCs/>
          <w:rtl/>
        </w:rPr>
        <w:t xml:space="preserve"> אני מקריא את סעיף 52 . אין צו לא לכאן ולא לכאן  </w:t>
      </w:r>
      <w:r>
        <w:rPr>
          <w:rFonts w:ascii="David" w:hAnsi="David"/>
          <w:rtl/>
        </w:rPr>
        <w:t>[...]</w:t>
      </w:r>
      <w:r>
        <w:rPr>
          <w:rFonts w:ascii="David" w:hAnsi="David"/>
          <w:b/>
          <w:bCs/>
          <w:rtl/>
        </w:rPr>
        <w:t xml:space="preserve"> הוא יכל להגיד אני מורה כמו שהיה ב 1 לחודש אני נותן צו להיכנס ונגמר הסיפור </w:t>
      </w:r>
      <w:r>
        <w:rPr>
          <w:rFonts w:ascii="David" w:hAnsi="David"/>
          <w:rtl/>
        </w:rPr>
        <w:t>[...]</w:t>
      </w:r>
      <w:r>
        <w:rPr>
          <w:rFonts w:ascii="David" w:hAnsi="David"/>
          <w:b/>
          <w:bCs/>
          <w:rtl/>
        </w:rPr>
        <w:t xml:space="preserve"> יש הסכם ביניהם, הוא לא היה בבית בית המשפט אמר באופן מפורש שהוא היה בבית ויש הסכם שהוא יצא  ממנו עכשיו שיש הסכם שהוא יצא ממנו מישהו חושב שהוא רוצה לבוא  למרות ההסכם בפסק הדין בית המשפט כותב את זה </w:t>
      </w:r>
      <w:r>
        <w:rPr>
          <w:rFonts w:ascii="David" w:hAnsi="David"/>
          <w:rtl/>
        </w:rPr>
        <w:t xml:space="preserve">[...] </w:t>
      </w:r>
      <w:r>
        <w:rPr>
          <w:rFonts w:ascii="David" w:hAnsi="David"/>
          <w:b/>
          <w:bCs/>
          <w:rtl/>
        </w:rPr>
        <w:t xml:space="preserve">אין חולק שהבית על שמה. אין חולק שהוא לא היה בבית ובית המשפט אמר לא היה מקום לחזרתו. אלו מילים ברורות לא היה מקום לחזרתו  כי יש בניהם הסכם בין אם זה כך ובין אם לא. </w:t>
      </w:r>
      <w:r>
        <w:rPr>
          <w:rFonts w:ascii="David" w:hAnsi="David"/>
          <w:rtl/>
        </w:rPr>
        <w:t xml:space="preserve">[...] </w:t>
      </w:r>
      <w:r>
        <w:rPr>
          <w:rFonts w:ascii="David" w:hAnsi="David"/>
          <w:b/>
          <w:bCs/>
          <w:rtl/>
        </w:rPr>
        <w:t>בית המשפט אומר בתחילת הדרך  הוא ביקש שני צווים הוא לא נתן שני צווים מה לעשות</w:t>
      </w:r>
      <w:r>
        <w:rPr>
          <w:rFonts w:ascii="David" w:hAnsi="David"/>
          <w:rtl/>
        </w:rPr>
        <w:t xml:space="preserve"> [...]</w:t>
      </w:r>
      <w:r>
        <w:rPr>
          <w:rFonts w:ascii="David" w:hAnsi="David"/>
          <w:b/>
          <w:bCs/>
          <w:rtl/>
        </w:rPr>
        <w:t xml:space="preserve"> בסעיף 41 </w:t>
      </w:r>
      <w:r>
        <w:rPr>
          <w:rFonts w:ascii="David" w:hAnsi="David"/>
          <w:rtl/>
        </w:rPr>
        <w:t xml:space="preserve">[...] </w:t>
      </w:r>
      <w:r>
        <w:rPr>
          <w:rFonts w:ascii="David" w:hAnsi="David"/>
          <w:b/>
          <w:bCs/>
          <w:rtl/>
        </w:rPr>
        <w:t>אנחנו הגשנו בקשה בעניין הזה, אמר כבוד השופט שמואל שהוא לא דן בבקשה לאחר הסיכומים  שצריך להגיש יש בקשה מה שקרה אומר כבוד השופט שמואל הבקשה שלך מתייתרת כי הוא לא נתן את הצו</w:t>
      </w:r>
      <w:r>
        <w:rPr>
          <w:rFonts w:ascii="David" w:hAnsi="David"/>
          <w:rtl/>
        </w:rPr>
        <w:t>"</w:t>
      </w:r>
      <w:r>
        <w:rPr>
          <w:rFonts w:ascii="David" w:hAnsi="David"/>
          <w:b/>
          <w:bCs/>
          <w:rtl/>
        </w:rPr>
        <w:t>.</w:t>
      </w:r>
    </w:p>
    <w:p w:rsidR="005E162F" w:rsidRDefault="005E162F" w:rsidP="005E162F">
      <w:pPr>
        <w:spacing w:line="360" w:lineRule="auto"/>
        <w:ind w:left="714"/>
        <w:jc w:val="both"/>
        <w:rPr>
          <w:rFonts w:ascii="David" w:hAnsi="David"/>
          <w:b/>
          <w:bCs/>
          <w:rtl/>
        </w:rPr>
      </w:pPr>
    </w:p>
    <w:p w:rsidR="005E162F" w:rsidRDefault="005E162F" w:rsidP="005E162F">
      <w:pPr>
        <w:spacing w:line="360" w:lineRule="auto"/>
        <w:ind w:left="714"/>
        <w:jc w:val="both"/>
        <w:rPr>
          <w:rFonts w:ascii="David" w:hAnsi="David"/>
          <w:b/>
          <w:bCs/>
          <w:rtl/>
        </w:rPr>
      </w:pPr>
      <w:r>
        <w:rPr>
          <w:rFonts w:ascii="David" w:hAnsi="David"/>
          <w:rtl/>
        </w:rPr>
        <w:t>אחר הדברים האלו הוסיפה המשיבה</w:t>
      </w:r>
      <w:r>
        <w:rPr>
          <w:rFonts w:ascii="David" w:hAnsi="David"/>
          <w:b/>
          <w:bCs/>
          <w:rtl/>
        </w:rPr>
        <w:t xml:space="preserve"> "הוא עזב מרצונו אחרי פסק הדין אני לא גירשתי אותו. </w:t>
      </w:r>
      <w:r>
        <w:rPr>
          <w:rFonts w:ascii="David" w:hAnsi="David"/>
          <w:rtl/>
        </w:rPr>
        <w:t xml:space="preserve">[...] </w:t>
      </w:r>
      <w:r>
        <w:rPr>
          <w:rFonts w:ascii="David" w:hAnsi="David"/>
          <w:b/>
          <w:bCs/>
          <w:rtl/>
        </w:rPr>
        <w:t>גם אין חדר בשבילו".</w:t>
      </w:r>
    </w:p>
    <w:p w:rsidR="005E162F" w:rsidRDefault="005E162F" w:rsidP="005E162F">
      <w:pPr>
        <w:spacing w:line="360" w:lineRule="auto"/>
        <w:ind w:left="714"/>
        <w:jc w:val="both"/>
        <w:rPr>
          <w:rFonts w:ascii="David" w:hAnsi="David"/>
          <w:b/>
          <w:bCs/>
          <w:rtl/>
        </w:rPr>
      </w:pPr>
    </w:p>
    <w:p w:rsidR="005E162F" w:rsidRDefault="005E162F" w:rsidP="005E162F">
      <w:pPr>
        <w:spacing w:line="360" w:lineRule="auto"/>
        <w:ind w:left="714"/>
        <w:jc w:val="both"/>
        <w:rPr>
          <w:rFonts w:ascii="David" w:hAnsi="David"/>
          <w:rtl/>
        </w:rPr>
      </w:pPr>
      <w:r>
        <w:rPr>
          <w:rFonts w:ascii="David" w:hAnsi="David"/>
          <w:rtl/>
        </w:rPr>
        <w:t xml:space="preserve">דברים אלו תומכים בתובנה שהובאה לעיל. </w:t>
      </w:r>
    </w:p>
    <w:p w:rsidR="005E162F" w:rsidRDefault="005E162F" w:rsidP="005E162F">
      <w:pPr>
        <w:spacing w:line="360" w:lineRule="auto"/>
        <w:ind w:left="714"/>
        <w:jc w:val="both"/>
        <w:rPr>
          <w:rFonts w:ascii="David" w:hAnsi="David"/>
          <w:b/>
          <w:bCs/>
          <w:rtl/>
        </w:rPr>
      </w:pPr>
    </w:p>
    <w:p w:rsidR="005E162F" w:rsidRDefault="005E162F" w:rsidP="005E162F">
      <w:pPr>
        <w:spacing w:line="360" w:lineRule="auto"/>
        <w:ind w:left="84"/>
        <w:jc w:val="both"/>
        <w:rPr>
          <w:rFonts w:ascii="David" w:hAnsi="David"/>
          <w:b/>
          <w:bCs/>
          <w:sz w:val="28"/>
          <w:szCs w:val="28"/>
          <w:rtl/>
        </w:rPr>
      </w:pPr>
      <w:r>
        <w:rPr>
          <w:rFonts w:ascii="David" w:hAnsi="David"/>
          <w:b/>
          <w:bCs/>
          <w:sz w:val="28"/>
          <w:szCs w:val="28"/>
          <w:u w:val="single"/>
          <w:rtl/>
        </w:rPr>
        <w:lastRenderedPageBreak/>
        <w:t>דיון והכרעה</w:t>
      </w:r>
      <w:r>
        <w:rPr>
          <w:rFonts w:ascii="David" w:hAnsi="David"/>
          <w:b/>
          <w:bCs/>
          <w:sz w:val="28"/>
          <w:szCs w:val="28"/>
          <w:rtl/>
        </w:rPr>
        <w:t>:</w:t>
      </w:r>
    </w:p>
    <w:p w:rsidR="005E162F" w:rsidRDefault="005E162F" w:rsidP="005E162F">
      <w:pPr>
        <w:spacing w:line="360" w:lineRule="auto"/>
        <w:ind w:left="84"/>
        <w:jc w:val="both"/>
        <w:rPr>
          <w:rFonts w:ascii="David" w:hAnsi="David"/>
          <w:b/>
          <w:bCs/>
          <w:sz w:val="28"/>
          <w:szCs w:val="28"/>
          <w:rtl/>
        </w:rPr>
      </w:pPr>
    </w:p>
    <w:p w:rsidR="005E162F" w:rsidRDefault="005E162F" w:rsidP="005E162F">
      <w:pPr>
        <w:spacing w:line="360" w:lineRule="auto"/>
        <w:ind w:left="714" w:hanging="630"/>
        <w:jc w:val="both"/>
        <w:rPr>
          <w:rFonts w:ascii="David" w:hAnsi="David"/>
          <w:rtl/>
        </w:rPr>
      </w:pPr>
      <w:r>
        <w:rPr>
          <w:rFonts w:ascii="David" w:hAnsi="David"/>
          <w:rtl/>
        </w:rPr>
        <w:t>15.</w:t>
      </w:r>
      <w:r>
        <w:rPr>
          <w:rFonts w:ascii="David" w:hAnsi="David"/>
          <w:rtl/>
        </w:rPr>
        <w:tab/>
        <w:t xml:space="preserve">טרם תבחן השאלה האם עומדת הבקשה בתנאים על פי פקודת ביזיון בית משפט ברור שהבחינה צריכה להיעשות רק על הבסיס האופרטיבי שבפסק הדין. </w:t>
      </w:r>
    </w:p>
    <w:p w:rsidR="005E162F" w:rsidRDefault="005E162F" w:rsidP="005E162F">
      <w:pPr>
        <w:spacing w:line="360" w:lineRule="auto"/>
        <w:ind w:left="84"/>
        <w:jc w:val="both"/>
        <w:rPr>
          <w:rFonts w:ascii="David" w:hAnsi="David"/>
          <w:b/>
          <w:bCs/>
          <w:rtl/>
        </w:rPr>
      </w:pPr>
    </w:p>
    <w:p w:rsidR="005E162F" w:rsidRDefault="005E162F" w:rsidP="005E162F">
      <w:pPr>
        <w:spacing w:line="360" w:lineRule="auto"/>
        <w:ind w:left="720" w:hanging="567"/>
        <w:jc w:val="both"/>
        <w:rPr>
          <w:rFonts w:ascii="David" w:hAnsi="David"/>
          <w:rtl/>
        </w:rPr>
      </w:pPr>
      <w:r>
        <w:rPr>
          <w:rFonts w:ascii="David" w:hAnsi="David"/>
          <w:rtl/>
        </w:rPr>
        <w:t>16.</w:t>
      </w:r>
      <w:r>
        <w:rPr>
          <w:rFonts w:ascii="David" w:hAnsi="David"/>
          <w:rtl/>
        </w:rPr>
        <w:tab/>
        <w:t xml:space="preserve">המחלוקת בין הצדדים נסבה ונגזרת מהשאלה בדבר זכותו של המבקש לשוב להתגורר בית אל מול זכותה של המשיבה למנוע זאת כאשר שני הצדדים נסמכים על פסק הדין. לטעמי סעיף המפתח לבירור מחלוקת זו בין הצדדים הוא סעיף 52 לפסק הדין. </w:t>
      </w:r>
    </w:p>
    <w:p w:rsidR="005E162F" w:rsidRDefault="005E162F" w:rsidP="005E162F">
      <w:pPr>
        <w:spacing w:line="360" w:lineRule="auto"/>
        <w:ind w:left="720" w:hanging="567"/>
        <w:jc w:val="both"/>
        <w:rPr>
          <w:rFonts w:ascii="David" w:hAnsi="David"/>
          <w:rtl/>
        </w:rPr>
      </w:pPr>
    </w:p>
    <w:p w:rsidR="005E162F" w:rsidRDefault="005E162F" w:rsidP="005E162F">
      <w:pPr>
        <w:spacing w:line="360" w:lineRule="auto"/>
        <w:ind w:left="720" w:hanging="567"/>
        <w:jc w:val="both"/>
        <w:rPr>
          <w:rFonts w:ascii="David" w:hAnsi="David"/>
          <w:rtl/>
        </w:rPr>
      </w:pPr>
      <w:r>
        <w:rPr>
          <w:rFonts w:ascii="David" w:hAnsi="David"/>
          <w:rtl/>
        </w:rPr>
        <w:tab/>
        <w:t>עם זאת יודגש כבר עתה שמענה והכרעה במחלוקת זו כשלעצמה אין כדי להכריע בשאלה שפתרונה מתבקש בהחלטה זו.</w:t>
      </w:r>
    </w:p>
    <w:p w:rsidR="005E162F" w:rsidRDefault="005E162F" w:rsidP="005E162F">
      <w:pPr>
        <w:spacing w:line="360" w:lineRule="auto"/>
        <w:ind w:left="1440"/>
        <w:jc w:val="both"/>
        <w:rPr>
          <w:rFonts w:ascii="David" w:hAnsi="David"/>
          <w:rtl/>
        </w:rPr>
      </w:pPr>
    </w:p>
    <w:p w:rsidR="005E162F" w:rsidRDefault="005E162F" w:rsidP="005E162F">
      <w:pPr>
        <w:spacing w:line="360" w:lineRule="auto"/>
        <w:ind w:left="793"/>
        <w:jc w:val="both"/>
        <w:rPr>
          <w:rFonts w:ascii="David" w:hAnsi="David"/>
          <w:rtl/>
        </w:rPr>
      </w:pPr>
      <w:r>
        <w:rPr>
          <w:rFonts w:ascii="David" w:hAnsi="David"/>
          <w:rtl/>
        </w:rPr>
        <w:t>בשל חשיבותו יובא הסעיף בשנית:</w:t>
      </w:r>
    </w:p>
    <w:p w:rsidR="005E162F" w:rsidRDefault="005E162F" w:rsidP="005E162F">
      <w:pPr>
        <w:spacing w:line="360" w:lineRule="auto"/>
        <w:ind w:left="651" w:hanging="567"/>
        <w:jc w:val="both"/>
        <w:rPr>
          <w:rFonts w:ascii="David" w:hAnsi="David"/>
          <w:rtl/>
        </w:rPr>
      </w:pPr>
    </w:p>
    <w:p w:rsidR="005E162F" w:rsidRDefault="005E162F" w:rsidP="005E162F">
      <w:pPr>
        <w:spacing w:line="360" w:lineRule="auto"/>
        <w:ind w:left="793"/>
        <w:jc w:val="both"/>
        <w:rPr>
          <w:rFonts w:ascii="David" w:eastAsiaTheme="minorHAnsi" w:hAnsi="David"/>
          <w:rtl/>
        </w:rPr>
      </w:pPr>
      <w:r>
        <w:rPr>
          <w:rFonts w:ascii="David" w:hAnsi="David"/>
          <w:rtl/>
        </w:rPr>
        <w:t>"</w:t>
      </w:r>
      <w:r>
        <w:rPr>
          <w:rFonts w:ascii="David" w:hAnsi="David"/>
          <w:b/>
          <w:bCs/>
          <w:rtl/>
        </w:rPr>
        <w:t xml:space="preserve">52. לא מצאתי להיעתר לסעד למתן צו הקשור לשימוש המבקש בבית שברחוב </w:t>
      </w:r>
      <w:r>
        <w:rPr>
          <w:rFonts w:ascii="David" w:hAnsi="David"/>
          <w:b/>
          <w:bCs/>
        </w:rPr>
        <w:t>XX</w:t>
      </w:r>
      <w:r>
        <w:rPr>
          <w:rFonts w:ascii="David" w:hAnsi="David"/>
          <w:b/>
          <w:bCs/>
          <w:rtl/>
        </w:rPr>
        <w:t xml:space="preserve"> ביישוב </w:t>
      </w:r>
      <w:r>
        <w:rPr>
          <w:rFonts w:ascii="David" w:hAnsi="David"/>
          <w:b/>
          <w:bCs/>
        </w:rPr>
        <w:t>XX</w:t>
      </w:r>
      <w:r>
        <w:rPr>
          <w:rFonts w:ascii="David" w:hAnsi="David"/>
          <w:b/>
          <w:bCs/>
          <w:rtl/>
        </w:rPr>
        <w:t xml:space="preserve"> שעה שאין צו שיפוטי או צו אחר שניתן ע"י משטרת המונע שימוש בבית.</w:t>
      </w:r>
      <w:r>
        <w:rPr>
          <w:rFonts w:ascii="David" w:hAnsi="David"/>
          <w:rtl/>
        </w:rPr>
        <w:t>"</w:t>
      </w:r>
    </w:p>
    <w:p w:rsidR="005E162F" w:rsidRDefault="005E162F" w:rsidP="005E162F">
      <w:pPr>
        <w:spacing w:line="360" w:lineRule="auto"/>
        <w:ind w:left="711"/>
        <w:jc w:val="both"/>
        <w:rPr>
          <w:rFonts w:ascii="David" w:hAnsi="David"/>
          <w:rtl/>
        </w:rPr>
      </w:pPr>
    </w:p>
    <w:p w:rsidR="005E162F" w:rsidRDefault="005E162F" w:rsidP="005E162F">
      <w:pPr>
        <w:spacing w:line="360" w:lineRule="auto"/>
        <w:ind w:left="717"/>
        <w:jc w:val="both"/>
        <w:rPr>
          <w:rFonts w:ascii="David" w:hAnsi="David"/>
          <w:rtl/>
        </w:rPr>
      </w:pPr>
      <w:r>
        <w:rPr>
          <w:rFonts w:ascii="David" w:hAnsi="David"/>
          <w:rtl/>
        </w:rPr>
        <w:t xml:space="preserve">המשיבה למדה מסעיף זה שמשעה שלא התיר כבוד השופט שמואל את חזרתו של המבקש להתגורר בבית הרי שזה מנוע לעשות כן. המשיבה הסתמכה בפרשנותה על דברים שקבע בית המשפט בגוף פסק הדין, אותה ביקורת על חזרתו של המבקש להתגורר בבית. אלא שעל פי המכלול כמו </w:t>
      </w:r>
      <w:r>
        <w:rPr>
          <w:rFonts w:ascii="David" w:hAnsi="David"/>
          <w:rtl/>
        </w:rPr>
        <w:lastRenderedPageBreak/>
        <w:t xml:space="preserve">פרשנות הטקסט נקלעה המשיבה לכלל טעות. בית המשפט קבע שמשעה שאין צו שיפוטי האוסר את שובו של המבקש  להתגורר בבית אין הוא צריך להתיר לו לשוב. בבחינת אין מקום להתיר במקום שלא נאסר. גישת המשיבה שבהעדר צו המורה  על חזרתו יש להסיק שזו נאסרה היא פרשנות שלא עולה מהטקסט.  </w:t>
      </w:r>
    </w:p>
    <w:p w:rsidR="005E162F" w:rsidRDefault="005E162F" w:rsidP="005E162F">
      <w:pPr>
        <w:spacing w:line="360" w:lineRule="auto"/>
        <w:ind w:left="84"/>
        <w:jc w:val="both"/>
        <w:rPr>
          <w:rFonts w:ascii="David" w:hAnsi="David"/>
          <w:rtl/>
        </w:rPr>
      </w:pPr>
      <w:r>
        <w:rPr>
          <w:rFonts w:ascii="David" w:hAnsi="David"/>
          <w:rtl/>
        </w:rPr>
        <w:tab/>
      </w:r>
    </w:p>
    <w:p w:rsidR="005E162F" w:rsidRDefault="005E162F" w:rsidP="005E162F">
      <w:pPr>
        <w:spacing w:line="360" w:lineRule="auto"/>
        <w:ind w:left="84" w:firstLine="567"/>
        <w:jc w:val="both"/>
        <w:rPr>
          <w:rFonts w:ascii="David" w:hAnsi="David"/>
          <w:rtl/>
        </w:rPr>
      </w:pPr>
      <w:r>
        <w:rPr>
          <w:rFonts w:ascii="David" w:hAnsi="David"/>
          <w:rtl/>
        </w:rPr>
        <w:t xml:space="preserve">בספרו </w:t>
      </w:r>
      <w:r>
        <w:rPr>
          <w:rFonts w:ascii="David" w:hAnsi="David"/>
          <w:u w:val="single"/>
          <w:rtl/>
        </w:rPr>
        <w:t xml:space="preserve">תורת הסבירות במשפט </w:t>
      </w:r>
      <w:r>
        <w:rPr>
          <w:rFonts w:ascii="David" w:hAnsi="David"/>
          <w:rtl/>
        </w:rPr>
        <w:t xml:space="preserve"> כותב יובל אזני :</w:t>
      </w:r>
    </w:p>
    <w:p w:rsidR="005E162F" w:rsidRDefault="005E162F" w:rsidP="005E162F">
      <w:pPr>
        <w:spacing w:line="360" w:lineRule="auto"/>
        <w:ind w:left="651"/>
        <w:jc w:val="both"/>
        <w:rPr>
          <w:rFonts w:ascii="David" w:hAnsi="David"/>
          <w:rtl/>
        </w:rPr>
      </w:pPr>
      <w:r>
        <w:rPr>
          <w:rFonts w:ascii="David" w:hAnsi="David"/>
          <w:rtl/>
        </w:rPr>
        <w:t>"...</w:t>
      </w:r>
      <w:r>
        <w:rPr>
          <w:rFonts w:ascii="David" w:hAnsi="David"/>
          <w:b/>
          <w:bCs/>
          <w:rtl/>
        </w:rPr>
        <w:t>בהרמנויטיקה המשפטית אין פרשנות אמיתית או שקרית כי אם פרשנות מסתברת מטקסט נתון הסתברות זו מטקסט יכול שתבטא אופציה אחת בלבד ויכול שתבטא מספר אופציות מקבילות. אופציה פרשנות סבירה משמעה בכללות: היותה מונבעת מהטקסט הנורמטיבי למירב, כשהטקסט עצמו נבחן אגב התהליך הפרשני תחת מבחנים נוספים (נושא תכליתו יוצריו וכיוצא באלו) הסבירות מבטאת אם כן פרשנות הלימה לטקסט. הלימה זו נוצרת ככל שהפרשנות מתיישבת, לאור יוצרו תחומו ותכליתו של הטקסט עם תוכנו המסוים"</w:t>
      </w:r>
      <w:r>
        <w:rPr>
          <w:rFonts w:ascii="David" w:hAnsi="David"/>
          <w:rtl/>
        </w:rPr>
        <w:t xml:space="preserve"> (יובל אזני </w:t>
      </w:r>
      <w:r>
        <w:rPr>
          <w:rFonts w:ascii="David" w:hAnsi="David"/>
          <w:u w:val="single"/>
          <w:rtl/>
        </w:rPr>
        <w:t>תורת הסבירות במשפט</w:t>
      </w:r>
      <w:r>
        <w:rPr>
          <w:rFonts w:ascii="David" w:hAnsi="David"/>
          <w:rtl/>
        </w:rPr>
        <w:t xml:space="preserve"> (2012) עמ' 267-266). </w:t>
      </w:r>
    </w:p>
    <w:p w:rsidR="005E162F" w:rsidRDefault="005E162F" w:rsidP="005E162F">
      <w:pPr>
        <w:overflowPunct w:val="0"/>
        <w:autoSpaceDE w:val="0"/>
        <w:autoSpaceDN w:val="0"/>
        <w:adjustRightInd w:val="0"/>
        <w:spacing w:after="180" w:line="360" w:lineRule="auto"/>
        <w:ind w:left="720"/>
        <w:jc w:val="both"/>
        <w:textAlignment w:val="baseline"/>
        <w:rPr>
          <w:rFonts w:ascii="David" w:eastAsiaTheme="minorHAnsi" w:hAnsi="David"/>
          <w:b/>
          <w:bCs/>
          <w:rtl/>
        </w:rPr>
      </w:pPr>
      <w:r>
        <w:rPr>
          <w:rFonts w:ascii="David" w:hAnsi="David"/>
          <w:rtl/>
          <w:lang w:eastAsia="he-IL"/>
        </w:rPr>
        <w:t>בהתייחסו להבדל בין טקסט ספרותי לטקסט משפטי כותב אזני: "...</w:t>
      </w:r>
      <w:r>
        <w:rPr>
          <w:rFonts w:ascii="David" w:hAnsi="David"/>
          <w:b/>
          <w:bCs/>
          <w:rtl/>
          <w:lang w:eastAsia="he-IL"/>
        </w:rPr>
        <w:t xml:space="preserve">לטקסט המשפטי מסר מוגדר יותר ורובו ככולו נושא אופי נורמטיבי ולכן קיימת אותה סגירות פרשנית הנבדלת מאותה פתיחות, כמעט לאין סוף של ההרמנויטיקה הספרותית השוללת קיומו של מסר אחד או אפילו מספר מסרים בודדים בעלי מגמה ותכלית. לטקסט המשפטי יש נמענים וממוענים. הממען אינו דומה ליוצר הטקסט הספרותי. </w:t>
      </w:r>
      <w:r>
        <w:rPr>
          <w:rFonts w:ascii="David" w:hAnsi="David"/>
          <w:rtl/>
          <w:lang w:eastAsia="he-IL"/>
        </w:rPr>
        <w:t xml:space="preserve">...". ( </w:t>
      </w:r>
      <w:r>
        <w:rPr>
          <w:rFonts w:ascii="David" w:hAnsi="David"/>
          <w:u w:val="single"/>
          <w:rtl/>
          <w:lang w:eastAsia="he-IL"/>
        </w:rPr>
        <w:t>שם</w:t>
      </w:r>
      <w:r>
        <w:rPr>
          <w:rFonts w:ascii="David" w:hAnsi="David"/>
          <w:rtl/>
          <w:lang w:eastAsia="he-IL"/>
        </w:rPr>
        <w:t xml:space="preserve"> עמ' 263).</w:t>
      </w:r>
    </w:p>
    <w:p w:rsidR="005E162F" w:rsidRDefault="005E162F" w:rsidP="005E162F">
      <w:pPr>
        <w:overflowPunct w:val="0"/>
        <w:autoSpaceDE w:val="0"/>
        <w:autoSpaceDN w:val="0"/>
        <w:adjustRightInd w:val="0"/>
        <w:spacing w:after="180" w:line="360" w:lineRule="auto"/>
        <w:ind w:left="717"/>
        <w:jc w:val="both"/>
        <w:textAlignment w:val="baseline"/>
        <w:rPr>
          <w:rFonts w:ascii="David" w:hAnsi="David"/>
          <w:rtl/>
        </w:rPr>
      </w:pPr>
      <w:r>
        <w:rPr>
          <w:rFonts w:ascii="David" w:hAnsi="David"/>
          <w:rtl/>
        </w:rPr>
        <w:t xml:space="preserve">הוא המקרה שלפני. אי אפשר לקבל את הפרשנות של המשיבה החורגת מגבולות הטקסט של סעיף 52. לא ניתן לצקת אליו מסרים מפסק הדין שאינם בחלק האופרטיבי של פסק הדין ומכוחם לטעת בו  אמירה אפריורית האוסרת על חזרתו של המבקש לשוב להתגורר בבית משעה  הותרה שיבתו הביתה במפורש. </w:t>
      </w:r>
    </w:p>
    <w:p w:rsidR="005E162F" w:rsidRDefault="005E162F" w:rsidP="005E162F">
      <w:pPr>
        <w:spacing w:line="360" w:lineRule="auto"/>
        <w:ind w:left="84"/>
        <w:jc w:val="both"/>
        <w:rPr>
          <w:rFonts w:ascii="David" w:hAnsi="David"/>
          <w:rtl/>
        </w:rPr>
      </w:pPr>
      <w:r>
        <w:rPr>
          <w:rFonts w:ascii="David" w:hAnsi="David"/>
          <w:rtl/>
        </w:rPr>
        <w:lastRenderedPageBreak/>
        <w:tab/>
        <w:t xml:space="preserve">חיזוק לתובנה זו עולה מסעיף 53 לפסק הדין. </w:t>
      </w:r>
    </w:p>
    <w:p w:rsidR="005E162F" w:rsidRDefault="005E162F" w:rsidP="005E162F">
      <w:pPr>
        <w:spacing w:line="360" w:lineRule="auto"/>
        <w:ind w:left="84"/>
        <w:jc w:val="both"/>
        <w:rPr>
          <w:rFonts w:ascii="David" w:hAnsi="David"/>
          <w:rtl/>
        </w:rPr>
      </w:pPr>
    </w:p>
    <w:p w:rsidR="005E162F" w:rsidRDefault="005E162F" w:rsidP="005E162F">
      <w:pPr>
        <w:spacing w:line="360" w:lineRule="auto"/>
        <w:ind w:left="651" w:hanging="720"/>
        <w:jc w:val="both"/>
        <w:rPr>
          <w:rFonts w:ascii="David" w:hAnsi="David"/>
          <w:b/>
          <w:bCs/>
          <w:rtl/>
        </w:rPr>
      </w:pPr>
      <w:r>
        <w:rPr>
          <w:rFonts w:ascii="David" w:hAnsi="David"/>
          <w:rtl/>
        </w:rPr>
        <w:tab/>
        <w:t xml:space="preserve">נכון שללשון יכולה להיות "משמעות משתמעת" המובנת מתוך הטקסט הגם שלא נאמרו הדברים מפורשות. למשל </w:t>
      </w:r>
      <w:r>
        <w:rPr>
          <w:rFonts w:ascii="David" w:hAnsi="David"/>
          <w:b/>
          <w:bCs/>
          <w:rtl/>
        </w:rPr>
        <w:t xml:space="preserve">"הבן שואל את אמו: "האוכל ללכת לבריכה ולאחר מכן לקולנוע?" האם משיבה: "תוכל ללכת לבריכה" משתמע מהתשובה כי הבן אינו רשאי ללכת לקולנוע" </w:t>
      </w:r>
      <w:r>
        <w:rPr>
          <w:rFonts w:ascii="David" w:hAnsi="David"/>
          <w:rtl/>
        </w:rPr>
        <w:t>[...]</w:t>
      </w:r>
      <w:r>
        <w:rPr>
          <w:rFonts w:ascii="David" w:hAnsi="David"/>
          <w:b/>
          <w:bCs/>
          <w:rtl/>
        </w:rPr>
        <w:t xml:space="preserve"> ראובן אומר לשמעון: "אני מעניק לך את דירתי בלונדון ואת דירתי  בניו יורק, וכן את הריהוט של דירתי בלונדון" משתמע מדבריו של ראובן, כי הוא אינו מעניק לשמעון את ריהוט  הדירה בניו יורק. </w:t>
      </w:r>
      <w:r>
        <w:rPr>
          <w:rFonts w:ascii="David" w:hAnsi="David"/>
          <w:rtl/>
        </w:rPr>
        <w:t xml:space="preserve">[...] </w:t>
      </w:r>
      <w:r>
        <w:rPr>
          <w:rFonts w:ascii="David" w:hAnsi="David"/>
          <w:b/>
          <w:bCs/>
          <w:rtl/>
        </w:rPr>
        <w:t>המארח מסתכל מדירתו לעבר הרחוב ואומר : "אכן הגשם חדל". האורח רשאי להבין מכך במשתמע כי עליו לעזוב"</w:t>
      </w:r>
      <w:r>
        <w:rPr>
          <w:rFonts w:ascii="David" w:hAnsi="David"/>
          <w:rtl/>
        </w:rPr>
        <w:t>"</w:t>
      </w:r>
      <w:r>
        <w:rPr>
          <w:rFonts w:ascii="David" w:hAnsi="David"/>
          <w:b/>
          <w:bCs/>
          <w:rtl/>
        </w:rPr>
        <w:t xml:space="preserve"> </w:t>
      </w:r>
      <w:r>
        <w:rPr>
          <w:rFonts w:ascii="David" w:hAnsi="David"/>
          <w:rtl/>
        </w:rPr>
        <w:t>(אהרון ברק</w:t>
      </w:r>
      <w:r>
        <w:rPr>
          <w:rFonts w:ascii="David" w:hAnsi="David"/>
          <w:b/>
          <w:bCs/>
          <w:rtl/>
        </w:rPr>
        <w:t xml:space="preserve"> </w:t>
      </w:r>
      <w:r>
        <w:rPr>
          <w:rFonts w:ascii="David" w:hAnsi="David"/>
          <w:u w:val="single"/>
          <w:rtl/>
        </w:rPr>
        <w:t>פרשנות במשפט –פרשנות החוזה</w:t>
      </w:r>
      <w:r>
        <w:rPr>
          <w:rFonts w:ascii="David" w:hAnsi="David"/>
          <w:rtl/>
        </w:rPr>
        <w:t xml:space="preserve"> 2001) 353)).</w:t>
      </w:r>
      <w:r>
        <w:rPr>
          <w:rFonts w:ascii="David" w:hAnsi="David"/>
          <w:b/>
          <w:bCs/>
          <w:rtl/>
        </w:rPr>
        <w:t xml:space="preserve"> </w:t>
      </w:r>
    </w:p>
    <w:p w:rsidR="005E162F" w:rsidRDefault="005E162F" w:rsidP="005E162F">
      <w:pPr>
        <w:spacing w:line="360" w:lineRule="auto"/>
        <w:ind w:left="711" w:firstLine="3"/>
        <w:jc w:val="both"/>
        <w:rPr>
          <w:rFonts w:ascii="David" w:hAnsi="David"/>
          <w:b/>
          <w:bCs/>
        </w:rPr>
      </w:pPr>
    </w:p>
    <w:p w:rsidR="005E162F" w:rsidRDefault="005E162F" w:rsidP="005E162F">
      <w:pPr>
        <w:spacing w:line="360" w:lineRule="auto"/>
        <w:ind w:left="714" w:hanging="627"/>
        <w:jc w:val="both"/>
        <w:rPr>
          <w:rFonts w:ascii="David" w:hAnsi="David"/>
          <w:rtl/>
        </w:rPr>
      </w:pPr>
      <w:r>
        <w:rPr>
          <w:rFonts w:ascii="David" w:hAnsi="David"/>
          <w:rtl/>
        </w:rPr>
        <w:t>17.</w:t>
      </w:r>
      <w:r>
        <w:rPr>
          <w:rFonts w:ascii="David" w:hAnsi="David"/>
          <w:rtl/>
        </w:rPr>
        <w:tab/>
      </w:r>
      <w:r>
        <w:rPr>
          <w:rFonts w:ascii="David" w:hAnsi="David"/>
          <w:rtl/>
        </w:rPr>
        <w:tab/>
        <w:t xml:space="preserve">ראוי להבהיר שבחינת פסק הדין בהקשרה של החלטה זו ובמסגרת הנורמטיבית שלה יכולה להיות רק בחלק האופרטיבי של פסק הדין. סעיף 52 אינו מתיר מקום לפרשנות משתמעת. כבוד השופט שמואל הבהיר מדוע אינו נדרש להחלטה המתירה את שובו של המבקש לבית שכן מעולם לא נשללה זכות זו. אשוב ואפנה לדבריי לעיל שאין ספק שלוּ רצה כבוד השופט שמואל להדגיש איסור בשלב זה היה יודע לבחור מילותיו, אך על אף חוסר הנוחות ובהעדר כל מגבלה, לא מצא להורות מפורשות שאסור למבקש לחזור הביתה. הפניתי לעיל לסעיף 53 ואשוב ואפנה אליו שכן כל אותה חוסר נוחות מתנקזת לסעיף זה אך לא לעת הזו במסגרת פסק דינו. </w:t>
      </w:r>
    </w:p>
    <w:p w:rsidR="005E162F" w:rsidRDefault="005E162F" w:rsidP="005E162F">
      <w:pPr>
        <w:pStyle w:val="1"/>
        <w:spacing w:line="360" w:lineRule="auto"/>
        <w:ind w:left="567" w:hanging="283"/>
        <w:jc w:val="both"/>
        <w:rPr>
          <w:rFonts w:ascii="David" w:hAnsi="David"/>
          <w:rtl/>
        </w:rPr>
      </w:pPr>
    </w:p>
    <w:p w:rsidR="005E162F" w:rsidRDefault="005E162F" w:rsidP="005E162F">
      <w:pPr>
        <w:pStyle w:val="1"/>
        <w:spacing w:line="360" w:lineRule="auto"/>
        <w:ind w:left="714"/>
        <w:jc w:val="both"/>
        <w:rPr>
          <w:rFonts w:ascii="Arial" w:hAnsi="Arial"/>
          <w:noProof w:val="0"/>
          <w:rtl/>
        </w:rPr>
      </w:pPr>
      <w:r>
        <w:rPr>
          <w:rFonts w:ascii="David" w:hAnsi="David"/>
          <w:rtl/>
        </w:rPr>
        <w:t xml:space="preserve">בהקשר זה אפנה לקבוע ב- </w:t>
      </w:r>
      <w:r>
        <w:rPr>
          <w:rFonts w:ascii="David" w:hAnsi="David"/>
          <w:u w:val="single"/>
          <w:rtl/>
        </w:rPr>
        <w:t xml:space="preserve">ע"א 2389/22 </w:t>
      </w:r>
      <w:r>
        <w:rPr>
          <w:rFonts w:ascii="David" w:hAnsi="David"/>
          <w:rtl/>
        </w:rPr>
        <w:t xml:space="preserve">בו נקבע </w:t>
      </w:r>
      <w:r>
        <w:rPr>
          <w:rFonts w:ascii="David" w:hAnsi="David"/>
          <w:noProof w:val="0"/>
          <w:rtl/>
        </w:rPr>
        <w:t xml:space="preserve"> ש"...</w:t>
      </w:r>
      <w:r>
        <w:rPr>
          <w:rFonts w:ascii="David" w:hAnsi="David"/>
          <w:b/>
          <w:bCs/>
          <w:noProof w:val="0"/>
          <w:rtl/>
        </w:rPr>
        <w:t xml:space="preserve">מאותם טעמים, ניתן לאכוף בהליכים מכוח הפקודה רק פסקי דין אשר כוללים ציווי אופרטיבי, חד משמעי וברור. בהתאם, הלכה היא שהליכים מכוח הפקודה נדרשים להיות קצרים וממוקדים, ואין הם מתאימים לאכיפת חיובים </w:t>
      </w:r>
      <w:r>
        <w:rPr>
          <w:rFonts w:ascii="David" w:hAnsi="David"/>
          <w:b/>
          <w:bCs/>
          <w:noProof w:val="0"/>
          <w:rtl/>
        </w:rPr>
        <w:lastRenderedPageBreak/>
        <w:t>אשר מצריכים פרשנות או אשר דורשים בירורים עובדתיים מורכבים</w:t>
      </w:r>
      <w:r>
        <w:rPr>
          <w:rFonts w:ascii="David" w:hAnsi="David"/>
          <w:noProof w:val="0"/>
          <w:rtl/>
        </w:rPr>
        <w:t>..."</w:t>
      </w:r>
      <w:r>
        <w:rPr>
          <w:rFonts w:ascii="David" w:hAnsi="David"/>
          <w:b/>
          <w:bCs/>
          <w:noProof w:val="0"/>
          <w:rtl/>
        </w:rPr>
        <w:t xml:space="preserve"> </w:t>
      </w:r>
      <w:r>
        <w:rPr>
          <w:rFonts w:ascii="David" w:hAnsi="David"/>
          <w:noProof w:val="0"/>
          <w:rtl/>
        </w:rPr>
        <w:t>(</w:t>
      </w:r>
      <w:r>
        <w:rPr>
          <w:rFonts w:ascii="David" w:hAnsi="David"/>
          <w:noProof w:val="0"/>
          <w:u w:val="single"/>
          <w:rtl/>
        </w:rPr>
        <w:t>רע"א 2389/22</w:t>
      </w:r>
      <w:r>
        <w:rPr>
          <w:rFonts w:ascii="David" w:hAnsi="David"/>
          <w:noProof w:val="0"/>
          <w:rtl/>
        </w:rPr>
        <w:t xml:space="preserve"> </w:t>
      </w:r>
      <w:r>
        <w:rPr>
          <w:rFonts w:ascii="David" w:hAnsi="David"/>
          <w:b/>
          <w:bCs/>
          <w:noProof w:val="0"/>
          <w:rtl/>
        </w:rPr>
        <w:t xml:space="preserve">‏חברת פריימן הפקות בע"מ </w:t>
      </w:r>
      <w:r>
        <w:rPr>
          <w:rFonts w:ascii="David" w:hAnsi="David"/>
          <w:noProof w:val="0"/>
          <w:rtl/>
        </w:rPr>
        <w:t xml:space="preserve">נ' </w:t>
      </w:r>
      <w:r>
        <w:rPr>
          <w:rFonts w:ascii="David" w:hAnsi="David"/>
          <w:b/>
          <w:bCs/>
          <w:noProof w:val="0"/>
          <w:rtl/>
        </w:rPr>
        <w:t xml:space="preserve">גל ביתר שירותי פרסום והפקות בע"מ" </w:t>
      </w:r>
      <w:r>
        <w:rPr>
          <w:rFonts w:ascii="David" w:hAnsi="David"/>
          <w:noProof w:val="0"/>
          <w:rtl/>
        </w:rPr>
        <w:t>(21.7.2022) ס' 12).</w:t>
      </w:r>
    </w:p>
    <w:p w:rsidR="005E162F" w:rsidRDefault="005E162F" w:rsidP="005E162F">
      <w:pPr>
        <w:spacing w:line="360" w:lineRule="auto"/>
        <w:ind w:left="714"/>
        <w:jc w:val="both"/>
        <w:rPr>
          <w:rFonts w:ascii="David" w:hAnsi="David"/>
          <w:b/>
          <w:bCs/>
          <w:noProof w:val="0"/>
          <w:rtl/>
        </w:rPr>
      </w:pPr>
    </w:p>
    <w:p w:rsidR="005E162F" w:rsidRDefault="005E162F" w:rsidP="005E162F">
      <w:pPr>
        <w:spacing w:line="360" w:lineRule="auto"/>
        <w:ind w:left="714" w:hanging="630"/>
        <w:jc w:val="both"/>
        <w:rPr>
          <w:rFonts w:ascii="David" w:hAnsi="David"/>
        </w:rPr>
      </w:pPr>
      <w:r>
        <w:rPr>
          <w:rFonts w:ascii="David" w:hAnsi="David"/>
          <w:rtl/>
        </w:rPr>
        <w:t>18.</w:t>
      </w:r>
      <w:r>
        <w:rPr>
          <w:rFonts w:ascii="David" w:hAnsi="David"/>
          <w:rtl/>
        </w:rPr>
        <w:tab/>
        <w:t>אמור מעתה שאין בפסק הדין התייחסות או קביעה המונעת את שובו של המבקש להתגורר בבית. זה המצב המשפטי העולה מפסק דין.</w:t>
      </w:r>
    </w:p>
    <w:p w:rsidR="005E162F" w:rsidRDefault="005E162F" w:rsidP="005E162F">
      <w:pPr>
        <w:spacing w:line="360" w:lineRule="auto"/>
        <w:ind w:left="714" w:hanging="630"/>
        <w:jc w:val="both"/>
        <w:rPr>
          <w:rFonts w:ascii="David" w:hAnsi="David"/>
          <w:rtl/>
        </w:rPr>
      </w:pPr>
    </w:p>
    <w:p w:rsidR="005E162F" w:rsidRDefault="005E162F" w:rsidP="005E162F">
      <w:pPr>
        <w:pStyle w:val="a5"/>
        <w:spacing w:line="360" w:lineRule="auto"/>
        <w:ind w:left="714" w:hanging="630"/>
        <w:rPr>
          <w:rFonts w:ascii="David" w:hAnsi="David" w:cs="David"/>
          <w:rtl/>
        </w:rPr>
      </w:pPr>
      <w:r>
        <w:rPr>
          <w:rFonts w:ascii="David" w:hAnsi="David" w:cs="David"/>
          <w:rtl/>
        </w:rPr>
        <w:t xml:space="preserve">19. </w:t>
      </w:r>
      <w:r>
        <w:rPr>
          <w:rFonts w:ascii="David" w:hAnsi="David" w:cs="David"/>
          <w:rtl/>
        </w:rPr>
        <w:tab/>
      </w:r>
      <w:r>
        <w:rPr>
          <w:rFonts w:ascii="David" w:hAnsi="David" w:cs="David"/>
          <w:rtl/>
        </w:rPr>
        <w:tab/>
        <w:t>הלכה היא שהשימוש בסעד המתבקש על פי פקודת ביזיון בית משפט תעשה במשורה ובית המשפט ישתמש בסמכות כפייה זו "...</w:t>
      </w:r>
      <w:r>
        <w:rPr>
          <w:rFonts w:ascii="David" w:hAnsi="David" w:cs="David"/>
          <w:b/>
          <w:bCs/>
          <w:rtl/>
        </w:rPr>
        <w:t>רק שאין דרך יעילה אחרת לאכוף את קיום פסק הדין</w:t>
      </w:r>
      <w:r>
        <w:rPr>
          <w:rFonts w:ascii="David" w:hAnsi="David" w:cs="David"/>
          <w:rtl/>
        </w:rPr>
        <w:t xml:space="preserve">" (חיים כהן,  </w:t>
      </w:r>
      <w:r>
        <w:rPr>
          <w:rFonts w:ascii="David" w:hAnsi="David" w:cs="David"/>
          <w:u w:val="single"/>
          <w:rtl/>
        </w:rPr>
        <w:t>המשפט</w:t>
      </w:r>
      <w:r>
        <w:rPr>
          <w:rFonts w:ascii="David" w:hAnsi="David" w:cs="David"/>
          <w:rtl/>
        </w:rPr>
        <w:t xml:space="preserve"> (1996) 431). כך, ב-</w:t>
      </w:r>
      <w:r>
        <w:rPr>
          <w:rFonts w:ascii="David" w:hAnsi="David" w:cs="David"/>
          <w:u w:val="single"/>
          <w:rtl/>
        </w:rPr>
        <w:t xml:space="preserve">רע"א  3888/04 </w:t>
      </w:r>
      <w:r>
        <w:rPr>
          <w:rFonts w:ascii="David" w:hAnsi="David" w:cs="David"/>
          <w:rtl/>
        </w:rPr>
        <w:t xml:space="preserve"> נקבע: " </w:t>
      </w:r>
      <w:r>
        <w:rPr>
          <w:rFonts w:ascii="David" w:hAnsi="David" w:cs="David"/>
          <w:b/>
          <w:bCs/>
          <w:rtl/>
        </w:rPr>
        <w:t>פסיקתו של בית</w:t>
      </w:r>
      <w:r>
        <w:rPr>
          <w:rFonts w:ascii="David" w:hAnsi="David" w:cs="David"/>
          <w:b/>
          <w:bCs/>
          <w:position w:val="4"/>
          <w:sz w:val="22"/>
          <w:rtl/>
        </w:rPr>
        <w:t>-</w:t>
      </w:r>
      <w:r>
        <w:rPr>
          <w:rFonts w:ascii="David" w:hAnsi="David" w:cs="David"/>
          <w:b/>
          <w:bCs/>
          <w:rtl/>
        </w:rPr>
        <w:t>משפט זה חזרה והדגישה כי השימוש בכלי אכיפתי זה שפגיעתו עשויה להיות קשה צריך להיות מוגבל רק למקרים מתאימים, וכי אין להיזקק להליכי ביזיון בית</w:t>
      </w:r>
      <w:r>
        <w:rPr>
          <w:rFonts w:ascii="David" w:hAnsi="David" w:cs="David"/>
          <w:b/>
          <w:bCs/>
          <w:position w:val="4"/>
          <w:sz w:val="22"/>
          <w:rtl/>
        </w:rPr>
        <w:t>-</w:t>
      </w:r>
      <w:r>
        <w:rPr>
          <w:rFonts w:ascii="David" w:hAnsi="David" w:cs="David"/>
          <w:b/>
          <w:bCs/>
          <w:rtl/>
        </w:rPr>
        <w:t>המשפט כאשר קיימת דרך אחרת לביצוע ההוראה השיפוטית</w:t>
      </w:r>
      <w:r>
        <w:rPr>
          <w:rFonts w:ascii="David" w:hAnsi="David" w:cs="David"/>
          <w:rtl/>
        </w:rPr>
        <w:t>..." (</w:t>
      </w:r>
      <w:r>
        <w:rPr>
          <w:rFonts w:ascii="David" w:hAnsi="David" w:cs="David"/>
          <w:u w:val="single"/>
          <w:rtl/>
        </w:rPr>
        <w:t>רע"א 3888/04</w:t>
      </w:r>
      <w:r>
        <w:rPr>
          <w:rFonts w:ascii="David" w:hAnsi="David" w:cs="David"/>
          <w:rtl/>
        </w:rPr>
        <w:t xml:space="preserve"> </w:t>
      </w:r>
      <w:r>
        <w:rPr>
          <w:rFonts w:ascii="David" w:hAnsi="David" w:cs="David"/>
          <w:b/>
          <w:bCs/>
          <w:rtl/>
        </w:rPr>
        <w:t>מיכאל שרבט</w:t>
      </w:r>
      <w:r>
        <w:rPr>
          <w:rFonts w:ascii="David" w:hAnsi="David" w:cs="David"/>
          <w:rtl/>
        </w:rPr>
        <w:t xml:space="preserve"> נ' </w:t>
      </w:r>
      <w:r>
        <w:rPr>
          <w:rFonts w:ascii="David" w:hAnsi="David" w:cs="David"/>
          <w:b/>
          <w:bCs/>
          <w:rtl/>
        </w:rPr>
        <w:t>שלום</w:t>
      </w:r>
      <w:r>
        <w:rPr>
          <w:rFonts w:ascii="David" w:hAnsi="David" w:cs="David"/>
          <w:rtl/>
        </w:rPr>
        <w:t xml:space="preserve"> </w:t>
      </w:r>
      <w:r>
        <w:rPr>
          <w:rFonts w:ascii="David" w:hAnsi="David" w:cs="David"/>
          <w:b/>
          <w:bCs/>
          <w:rtl/>
        </w:rPr>
        <w:t>שרבט</w:t>
      </w:r>
      <w:r>
        <w:rPr>
          <w:rFonts w:ascii="David" w:hAnsi="David" w:cs="David"/>
          <w:rtl/>
        </w:rPr>
        <w:t xml:space="preserve"> פ''ד נט(4), 49 (14.12.2004),58) </w:t>
      </w:r>
    </w:p>
    <w:p w:rsidR="005E162F" w:rsidRDefault="005E162F" w:rsidP="005E162F">
      <w:pPr>
        <w:pStyle w:val="1"/>
        <w:spacing w:line="360" w:lineRule="auto"/>
        <w:ind w:left="714" w:hanging="630"/>
        <w:jc w:val="both"/>
        <w:rPr>
          <w:rFonts w:ascii="Arial" w:hAnsi="Arial"/>
          <w:noProof w:val="0"/>
          <w:rtl/>
        </w:rPr>
      </w:pPr>
      <w:r>
        <w:rPr>
          <w:rFonts w:ascii="Arial" w:hAnsi="Arial"/>
          <w:noProof w:val="0"/>
          <w:rtl/>
        </w:rPr>
        <w:t>20.</w:t>
      </w:r>
      <w:r>
        <w:rPr>
          <w:rFonts w:ascii="Arial" w:hAnsi="Arial"/>
          <w:noProof w:val="0"/>
          <w:rtl/>
        </w:rPr>
        <w:tab/>
      </w:r>
      <w:r>
        <w:rPr>
          <w:rFonts w:ascii="Arial" w:hAnsi="Arial"/>
          <w:noProof w:val="0"/>
          <w:rtl/>
        </w:rPr>
        <w:tab/>
        <w:t>כבוד השופט יהורם שקד, בהסתמך על הפסיקה, סיכם את הרכיבים אותם על בית המשפט לבדוק וש"...</w:t>
      </w:r>
      <w:r>
        <w:rPr>
          <w:rFonts w:ascii="Arial" w:hAnsi="Arial"/>
          <w:b/>
          <w:bCs/>
          <w:noProof w:val="0"/>
          <w:rtl/>
        </w:rPr>
        <w:t>רק בהצטברותם ניתן לאכוף בהליכים מכח הפקודה, ואלו הם:</w:t>
      </w:r>
    </w:p>
    <w:p w:rsidR="005E162F" w:rsidRDefault="005E162F" w:rsidP="005E162F">
      <w:pPr>
        <w:pStyle w:val="1"/>
        <w:rPr>
          <w:rFonts w:ascii="Arial" w:hAnsi="Arial"/>
          <w:noProof w:val="0"/>
          <w:sz w:val="16"/>
          <w:szCs w:val="16"/>
          <w:rtl/>
        </w:rPr>
      </w:pPr>
    </w:p>
    <w:p w:rsidR="005E162F" w:rsidRDefault="005E162F" w:rsidP="005E162F">
      <w:pPr>
        <w:pStyle w:val="1"/>
        <w:spacing w:line="360" w:lineRule="auto"/>
        <w:ind w:left="567" w:firstLine="153"/>
        <w:jc w:val="both"/>
        <w:rPr>
          <w:rFonts w:ascii="Arial" w:hAnsi="Arial"/>
          <w:b/>
          <w:bCs/>
          <w:noProof w:val="0"/>
        </w:rPr>
      </w:pPr>
      <w:r>
        <w:rPr>
          <w:rFonts w:ascii="Arial" w:hAnsi="Arial"/>
          <w:b/>
          <w:bCs/>
          <w:noProof w:val="0"/>
          <w:rtl/>
        </w:rPr>
        <w:t>א.</w:t>
      </w:r>
      <w:r>
        <w:rPr>
          <w:rFonts w:ascii="Arial" w:hAnsi="Arial"/>
          <w:b/>
          <w:bCs/>
          <w:noProof w:val="0"/>
          <w:rtl/>
        </w:rPr>
        <w:tab/>
        <w:t>קיומו של פסק דין (או החלטה) הקובעים ציווי אופרטיבי;</w:t>
      </w:r>
    </w:p>
    <w:p w:rsidR="005E162F" w:rsidRDefault="005E162F" w:rsidP="005E162F">
      <w:pPr>
        <w:pStyle w:val="1"/>
        <w:spacing w:line="360" w:lineRule="auto"/>
        <w:ind w:left="509" w:firstLine="211"/>
        <w:jc w:val="both"/>
        <w:rPr>
          <w:rFonts w:ascii="Arial" w:hAnsi="Arial"/>
          <w:b/>
          <w:bCs/>
          <w:noProof w:val="0"/>
          <w:rtl/>
        </w:rPr>
      </w:pPr>
      <w:r>
        <w:rPr>
          <w:rFonts w:ascii="Arial" w:hAnsi="Arial"/>
          <w:b/>
          <w:bCs/>
          <w:noProof w:val="0"/>
          <w:rtl/>
        </w:rPr>
        <w:t>ב.</w:t>
      </w:r>
      <w:r>
        <w:rPr>
          <w:rFonts w:ascii="Arial" w:hAnsi="Arial"/>
          <w:b/>
          <w:bCs/>
          <w:noProof w:val="0"/>
          <w:rtl/>
        </w:rPr>
        <w:tab/>
        <w:t>על הציווי להיות חד משמעי וברור;</w:t>
      </w:r>
    </w:p>
    <w:p w:rsidR="005E162F" w:rsidRDefault="005E162F" w:rsidP="005E162F">
      <w:pPr>
        <w:pStyle w:val="1"/>
        <w:spacing w:line="360" w:lineRule="auto"/>
        <w:ind w:left="651" w:firstLine="69"/>
        <w:jc w:val="both"/>
        <w:rPr>
          <w:rFonts w:ascii="Arial" w:hAnsi="Arial"/>
          <w:b/>
          <w:bCs/>
          <w:noProof w:val="0"/>
        </w:rPr>
      </w:pPr>
      <w:r>
        <w:rPr>
          <w:rFonts w:ascii="Arial" w:hAnsi="Arial"/>
          <w:b/>
          <w:bCs/>
          <w:noProof w:val="0"/>
          <w:rtl/>
        </w:rPr>
        <w:t>ג.</w:t>
      </w:r>
      <w:r>
        <w:rPr>
          <w:rFonts w:ascii="Arial" w:hAnsi="Arial"/>
          <w:b/>
          <w:bCs/>
          <w:noProof w:val="0"/>
          <w:rtl/>
        </w:rPr>
        <w:tab/>
        <w:t xml:space="preserve">לא ניתן לאכוף את הצו השיפוטי בכל דרך אחרת; </w:t>
      </w:r>
    </w:p>
    <w:p w:rsidR="005E162F" w:rsidRDefault="005E162F" w:rsidP="005E162F">
      <w:pPr>
        <w:pStyle w:val="1"/>
        <w:spacing w:line="360" w:lineRule="auto"/>
        <w:ind w:left="1440" w:hanging="720"/>
        <w:jc w:val="both"/>
        <w:rPr>
          <w:rFonts w:ascii="Arial" w:hAnsi="Arial"/>
          <w:b/>
          <w:bCs/>
          <w:noProof w:val="0"/>
        </w:rPr>
      </w:pPr>
      <w:r>
        <w:rPr>
          <w:rFonts w:ascii="Arial" w:hAnsi="Arial"/>
          <w:b/>
          <w:bCs/>
          <w:noProof w:val="0"/>
          <w:rtl/>
        </w:rPr>
        <w:t>ד.</w:t>
      </w:r>
      <w:r>
        <w:rPr>
          <w:rFonts w:ascii="Arial" w:hAnsi="Arial"/>
          <w:b/>
          <w:bCs/>
          <w:noProof w:val="0"/>
          <w:rtl/>
        </w:rPr>
        <w:tab/>
        <w:t>כמו בכל הליך משפטי, יש להוכיח את ההפרה</w:t>
      </w:r>
      <w:r>
        <w:rPr>
          <w:rFonts w:ascii="Arial" w:hAnsi="Arial"/>
          <w:noProof w:val="0"/>
          <w:rtl/>
        </w:rPr>
        <w:t>."  (</w:t>
      </w:r>
      <w:r>
        <w:rPr>
          <w:rFonts w:ascii="Arial" w:hAnsi="Arial"/>
          <w:noProof w:val="0"/>
          <w:u w:val="single"/>
          <w:rtl/>
        </w:rPr>
        <w:t xml:space="preserve">תמ"ש (ת"א)  30881-03-21 </w:t>
      </w:r>
      <w:r>
        <w:rPr>
          <w:rFonts w:ascii="Arial" w:hAnsi="Arial"/>
          <w:b/>
          <w:bCs/>
          <w:noProof w:val="0"/>
          <w:rtl/>
        </w:rPr>
        <w:t xml:space="preserve">פלונית </w:t>
      </w:r>
      <w:r>
        <w:rPr>
          <w:rFonts w:ascii="Arial" w:hAnsi="Arial"/>
          <w:noProof w:val="0"/>
          <w:rtl/>
        </w:rPr>
        <w:t xml:space="preserve">נ' </w:t>
      </w:r>
      <w:r>
        <w:rPr>
          <w:rFonts w:ascii="Arial" w:hAnsi="Arial"/>
          <w:b/>
          <w:bCs/>
          <w:noProof w:val="0"/>
          <w:rtl/>
        </w:rPr>
        <w:t xml:space="preserve">פלוני </w:t>
      </w:r>
      <w:r>
        <w:rPr>
          <w:rFonts w:ascii="Arial" w:hAnsi="Arial"/>
          <w:noProof w:val="0"/>
          <w:rtl/>
        </w:rPr>
        <w:t>(1.5.2024) ס' 10)</w:t>
      </w:r>
    </w:p>
    <w:p w:rsidR="005E162F" w:rsidRDefault="005E162F" w:rsidP="005E162F">
      <w:pPr>
        <w:spacing w:line="360" w:lineRule="auto"/>
        <w:ind w:left="84"/>
        <w:jc w:val="both"/>
        <w:rPr>
          <w:rFonts w:ascii="David" w:hAnsi="David"/>
          <w:b/>
          <w:bCs/>
          <w:noProof w:val="0"/>
        </w:rPr>
      </w:pPr>
    </w:p>
    <w:p w:rsidR="005E162F" w:rsidRDefault="005E162F" w:rsidP="005E162F">
      <w:pPr>
        <w:spacing w:line="360" w:lineRule="auto"/>
        <w:ind w:left="84"/>
        <w:jc w:val="both"/>
        <w:rPr>
          <w:rFonts w:ascii="David" w:hAnsi="David"/>
        </w:rPr>
      </w:pPr>
      <w:r>
        <w:rPr>
          <w:rFonts w:ascii="David" w:hAnsi="David"/>
          <w:rtl/>
        </w:rPr>
        <w:lastRenderedPageBreak/>
        <w:t>21.</w:t>
      </w:r>
      <w:r>
        <w:rPr>
          <w:rFonts w:ascii="David" w:hAnsi="David"/>
          <w:rtl/>
        </w:rPr>
        <w:tab/>
        <w:t>ההחלטה  תמשיך ותבחן את הבקשה על פי נתיב זה.</w:t>
      </w:r>
    </w:p>
    <w:p w:rsidR="005E162F" w:rsidRDefault="005E162F" w:rsidP="005E162F">
      <w:pPr>
        <w:spacing w:line="360" w:lineRule="auto"/>
        <w:ind w:left="84"/>
        <w:jc w:val="both"/>
        <w:rPr>
          <w:rFonts w:ascii="David" w:hAnsi="David"/>
          <w:b/>
          <w:bCs/>
          <w:rtl/>
        </w:rPr>
      </w:pPr>
    </w:p>
    <w:p w:rsidR="005E162F" w:rsidRDefault="005E162F" w:rsidP="005E162F">
      <w:pPr>
        <w:spacing w:line="360" w:lineRule="auto"/>
        <w:ind w:left="714" w:hanging="630"/>
        <w:jc w:val="both"/>
        <w:rPr>
          <w:rFonts w:ascii="David" w:hAnsi="David"/>
          <w:b/>
          <w:bCs/>
          <w:rtl/>
        </w:rPr>
      </w:pPr>
      <w:r>
        <w:rPr>
          <w:rFonts w:ascii="David" w:hAnsi="David"/>
          <w:rtl/>
        </w:rPr>
        <w:t>22.</w:t>
      </w:r>
      <w:r>
        <w:rPr>
          <w:rFonts w:ascii="David" w:hAnsi="David"/>
          <w:rtl/>
        </w:rPr>
        <w:tab/>
        <w:t>לכאורה אין בפסק  הדין ציווי אופרטיבי בהקשר למחלוקת הועלתה על ידי הצדדים והיא זכות חזרתו של המבקש להתגורר בבית משעה שכבוד השופט שמואל לא הורה שהוא יכול לשוב להתגורר בבית כדעת המשיבה, או שזכותו לעשות כן משעה שלא נאסרה שיבתו על ידי בית המשפט כדעת המבקש. התמקדות במחלוקת זו בלבד מובילה למסקנה השוללת, כמובהר לעיל, לכאורה, קיומו של צו אופרטיבי בפסק הדין ומטעם זה דין הבקשה היה להידחות</w:t>
      </w:r>
      <w:r>
        <w:rPr>
          <w:rFonts w:ascii="David" w:hAnsi="David"/>
          <w:b/>
          <w:bCs/>
          <w:rtl/>
        </w:rPr>
        <w:t xml:space="preserve">.    </w:t>
      </w:r>
    </w:p>
    <w:p w:rsidR="005E162F" w:rsidRDefault="005E162F" w:rsidP="005E162F">
      <w:pPr>
        <w:spacing w:line="360" w:lineRule="auto"/>
        <w:ind w:left="84"/>
        <w:jc w:val="both"/>
        <w:rPr>
          <w:rFonts w:ascii="David" w:hAnsi="David"/>
          <w:b/>
          <w:bCs/>
          <w:rtl/>
        </w:rPr>
      </w:pPr>
    </w:p>
    <w:p w:rsidR="005E162F" w:rsidRDefault="005E162F" w:rsidP="005E162F">
      <w:pPr>
        <w:spacing w:line="360" w:lineRule="auto"/>
        <w:ind w:left="714"/>
        <w:jc w:val="both"/>
        <w:rPr>
          <w:rFonts w:ascii="David" w:hAnsi="David"/>
          <w:rtl/>
        </w:rPr>
      </w:pPr>
      <w:r>
        <w:rPr>
          <w:rFonts w:ascii="David" w:hAnsi="David"/>
          <w:rtl/>
        </w:rPr>
        <w:t>ברם, בסעיף 49 לפסק הדין יש ציווי אופרטיבי מפורש, נהיר ובהיר הקובע</w:t>
      </w:r>
      <w:r>
        <w:rPr>
          <w:rFonts w:ascii="David" w:hAnsi="David"/>
          <w:b/>
          <w:bCs/>
          <w:rtl/>
        </w:rPr>
        <w:t xml:space="preserve"> </w:t>
      </w:r>
      <w:r>
        <w:rPr>
          <w:rFonts w:ascii="David" w:hAnsi="David"/>
          <w:rtl/>
        </w:rPr>
        <w:t>"...</w:t>
      </w:r>
      <w:r>
        <w:rPr>
          <w:rFonts w:ascii="David" w:hAnsi="David"/>
          <w:b/>
          <w:bCs/>
          <w:rtl/>
        </w:rPr>
        <w:t>מצאתי לתת צו למניעת הטרדה הדדי שיאסור על מי מהצדדים להטריד את משנהו בכל מקום, בכל דרך ובכל מקום</w:t>
      </w:r>
      <w:r>
        <w:rPr>
          <w:rFonts w:ascii="David" w:hAnsi="David"/>
          <w:rtl/>
        </w:rPr>
        <w:t>".</w:t>
      </w:r>
    </w:p>
    <w:p w:rsidR="005E162F" w:rsidRDefault="005E162F" w:rsidP="005E162F">
      <w:pPr>
        <w:spacing w:line="360" w:lineRule="auto"/>
        <w:ind w:left="714"/>
        <w:jc w:val="both"/>
        <w:rPr>
          <w:rFonts w:ascii="David" w:hAnsi="David"/>
          <w:rtl/>
        </w:rPr>
      </w:pPr>
    </w:p>
    <w:p w:rsidR="005E162F" w:rsidRDefault="005E162F" w:rsidP="005E162F">
      <w:pPr>
        <w:spacing w:line="360" w:lineRule="auto"/>
        <w:ind w:left="84"/>
        <w:jc w:val="both"/>
        <w:rPr>
          <w:rFonts w:ascii="David" w:hAnsi="David"/>
          <w:rtl/>
        </w:rPr>
      </w:pPr>
      <w:r>
        <w:rPr>
          <w:rFonts w:ascii="David" w:hAnsi="David"/>
          <w:rtl/>
        </w:rPr>
        <w:t>23.</w:t>
      </w:r>
      <w:r>
        <w:rPr>
          <w:rFonts w:ascii="David" w:hAnsi="David"/>
          <w:rtl/>
        </w:rPr>
        <w:tab/>
        <w:t xml:space="preserve">הטרדה מוגדרת בסעיף  2 לחוק למניעת הטרדה מאיימת תשס"ב-2001  וזה לשון הסעיף: </w:t>
      </w:r>
    </w:p>
    <w:p w:rsidR="005E162F" w:rsidRDefault="005E162F" w:rsidP="005E162F">
      <w:pPr>
        <w:pStyle w:val="P00"/>
        <w:tabs>
          <w:tab w:val="clear" w:pos="624"/>
          <w:tab w:val="left" w:pos="720"/>
        </w:tabs>
        <w:spacing w:before="72" w:line="360" w:lineRule="auto"/>
        <w:ind w:left="793" w:right="1134"/>
        <w:rPr>
          <w:rStyle w:val="default"/>
          <w:rFonts w:ascii="David" w:hAnsi="David" w:cs="David"/>
          <w:b/>
          <w:bCs/>
          <w:sz w:val="24"/>
          <w:szCs w:val="24"/>
          <w:rtl/>
        </w:rPr>
      </w:pPr>
      <w:r>
        <w:rPr>
          <w:rStyle w:val="big-number"/>
          <w:rFonts w:ascii="David" w:hAnsi="David" w:cs="David"/>
          <w:sz w:val="24"/>
          <w:szCs w:val="24"/>
          <w:rtl/>
        </w:rPr>
        <w:t>"</w:t>
      </w:r>
      <w:r>
        <w:rPr>
          <w:rStyle w:val="big-number"/>
          <w:rFonts w:ascii="David" w:hAnsi="David" w:cs="David"/>
          <w:b/>
          <w:bCs/>
          <w:sz w:val="24"/>
          <w:szCs w:val="24"/>
          <w:rtl/>
        </w:rPr>
        <w:t>2.</w:t>
      </w:r>
      <w:r>
        <w:rPr>
          <w:rStyle w:val="big-number"/>
          <w:rFonts w:ascii="David" w:hAnsi="David" w:cs="David"/>
          <w:b/>
          <w:bCs/>
          <w:sz w:val="24"/>
          <w:szCs w:val="24"/>
          <w:rtl/>
        </w:rPr>
        <w:tab/>
      </w:r>
      <w:r>
        <w:rPr>
          <w:rStyle w:val="default"/>
          <w:rFonts w:ascii="David" w:hAnsi="David" w:cs="David"/>
          <w:b/>
          <w:bCs/>
          <w:sz w:val="24"/>
          <w:szCs w:val="24"/>
          <w:rtl/>
        </w:rPr>
        <w:t>(א)</w:t>
      </w:r>
      <w:r>
        <w:rPr>
          <w:rStyle w:val="default"/>
          <w:rFonts w:ascii="David" w:hAnsi="David" w:cs="David"/>
          <w:b/>
          <w:bCs/>
          <w:sz w:val="24"/>
          <w:szCs w:val="24"/>
          <w:rtl/>
        </w:rPr>
        <w:tab/>
        <w:t xml:space="preserve">הטרדה מאיימת היא הטרדתו של אדם בידי אחר בכל דרך </w:t>
      </w:r>
    </w:p>
    <w:p w:rsidR="005E162F" w:rsidRDefault="005E162F" w:rsidP="005E162F">
      <w:pPr>
        <w:pStyle w:val="P00"/>
        <w:tabs>
          <w:tab w:val="clear" w:pos="624"/>
          <w:tab w:val="left" w:pos="720"/>
        </w:tabs>
        <w:spacing w:before="72" w:line="360" w:lineRule="auto"/>
        <w:ind w:left="2160" w:right="142"/>
        <w:rPr>
          <w:rStyle w:val="default"/>
          <w:rFonts w:ascii="David" w:hAnsi="David" w:cs="David"/>
          <w:b/>
          <w:bCs/>
          <w:sz w:val="24"/>
          <w:szCs w:val="24"/>
          <w:rtl/>
        </w:rPr>
      </w:pPr>
      <w:r>
        <w:rPr>
          <w:rStyle w:val="default"/>
          <w:rFonts w:ascii="David" w:hAnsi="David" w:cs="David"/>
          <w:b/>
          <w:bCs/>
          <w:sz w:val="24"/>
          <w:szCs w:val="24"/>
          <w:rtl/>
        </w:rPr>
        <w:t xml:space="preserve">שהיא </w:t>
      </w:r>
      <w:r>
        <w:rPr>
          <w:rStyle w:val="default"/>
          <w:rFonts w:ascii="David" w:hAnsi="David" w:cs="David"/>
          <w:sz w:val="24"/>
          <w:szCs w:val="24"/>
          <w:rtl/>
        </w:rPr>
        <w:t xml:space="preserve">[...] </w:t>
      </w:r>
      <w:r>
        <w:rPr>
          <w:rStyle w:val="default"/>
          <w:rFonts w:ascii="David" w:hAnsi="David" w:cs="David"/>
          <w:b/>
          <w:bCs/>
          <w:sz w:val="24"/>
          <w:szCs w:val="24"/>
          <w:rtl/>
        </w:rPr>
        <w:t>כלפיו, בנסיבות הנותנות בסיס סביר להניח כי המטריד או המאיים עלול לשוב ולפגוע בשלוות חייו, בפרטיותו או בחירותו של האדם [...]  או כי הוא עלול לפגוע בגופו.</w:t>
      </w:r>
    </w:p>
    <w:p w:rsidR="005E162F" w:rsidRDefault="005E162F" w:rsidP="005E162F">
      <w:pPr>
        <w:pStyle w:val="P00"/>
        <w:tabs>
          <w:tab w:val="clear" w:pos="624"/>
          <w:tab w:val="left" w:pos="720"/>
        </w:tabs>
        <w:spacing w:before="72" w:line="360" w:lineRule="auto"/>
        <w:ind w:left="2160" w:right="1134" w:hanging="720"/>
        <w:rPr>
          <w:rStyle w:val="default"/>
          <w:rFonts w:ascii="David" w:hAnsi="David" w:cs="David"/>
          <w:b/>
          <w:bCs/>
          <w:sz w:val="24"/>
          <w:szCs w:val="24"/>
          <w:rtl/>
        </w:rPr>
      </w:pPr>
      <w:r>
        <w:rPr>
          <w:rStyle w:val="default"/>
          <w:rFonts w:ascii="David" w:hAnsi="David" w:cs="David"/>
          <w:b/>
          <w:bCs/>
          <w:sz w:val="24"/>
          <w:szCs w:val="24"/>
          <w:rtl/>
        </w:rPr>
        <w:t>(ב)</w:t>
      </w:r>
      <w:r>
        <w:rPr>
          <w:rStyle w:val="default"/>
          <w:rFonts w:ascii="David" w:hAnsi="David" w:cs="David"/>
          <w:b/>
          <w:bCs/>
          <w:sz w:val="24"/>
          <w:szCs w:val="24"/>
          <w:rtl/>
        </w:rPr>
        <w:tab/>
        <w:t>בלי לגרוע מהוראות סעיף קטן (א), הטרדה מאיימת כלפי אדם יכול שתהא, בין השאר, באחד מאלה:</w:t>
      </w:r>
    </w:p>
    <w:p w:rsidR="005E162F" w:rsidRDefault="005E162F" w:rsidP="005E162F">
      <w:pPr>
        <w:pStyle w:val="P22"/>
        <w:spacing w:before="72" w:line="360" w:lineRule="auto"/>
        <w:ind w:left="1021" w:right="1134"/>
        <w:rPr>
          <w:rStyle w:val="default"/>
          <w:rFonts w:ascii="David" w:hAnsi="David" w:cs="David"/>
          <w:b/>
          <w:bCs/>
          <w:sz w:val="24"/>
          <w:szCs w:val="24"/>
          <w:rtl/>
        </w:rPr>
      </w:pPr>
      <w:r>
        <w:rPr>
          <w:rStyle w:val="default"/>
          <w:rFonts w:ascii="David" w:hAnsi="David" w:cs="David"/>
          <w:b/>
          <w:bCs/>
          <w:sz w:val="24"/>
          <w:szCs w:val="24"/>
          <w:rtl/>
        </w:rPr>
        <w:tab/>
      </w:r>
      <w:r>
        <w:rPr>
          <w:rStyle w:val="default"/>
          <w:rFonts w:ascii="David" w:hAnsi="David" w:cs="David"/>
          <w:b/>
          <w:bCs/>
          <w:sz w:val="24"/>
          <w:szCs w:val="24"/>
          <w:rtl/>
        </w:rPr>
        <w:tab/>
        <w:t>(1)</w:t>
      </w:r>
      <w:r>
        <w:rPr>
          <w:rStyle w:val="default"/>
          <w:rFonts w:ascii="David" w:hAnsi="David" w:cs="David"/>
          <w:b/>
          <w:bCs/>
          <w:sz w:val="24"/>
          <w:szCs w:val="24"/>
          <w:rtl/>
        </w:rPr>
        <w:tab/>
      </w:r>
      <w:r>
        <w:rPr>
          <w:rStyle w:val="default"/>
          <w:rFonts w:ascii="David" w:hAnsi="David" w:cs="David"/>
          <w:sz w:val="24"/>
          <w:szCs w:val="24"/>
          <w:rtl/>
        </w:rPr>
        <w:t>...</w:t>
      </w:r>
      <w:r>
        <w:rPr>
          <w:rStyle w:val="default"/>
          <w:rFonts w:ascii="David" w:hAnsi="David" w:cs="David"/>
          <w:b/>
          <w:bCs/>
          <w:sz w:val="24"/>
          <w:szCs w:val="24"/>
          <w:rtl/>
        </w:rPr>
        <w:t xml:space="preserve"> או בפגיעה בפרטיותו בכל דרך אחרת;</w:t>
      </w:r>
    </w:p>
    <w:p w:rsidR="005E162F" w:rsidRDefault="005E162F" w:rsidP="005E162F">
      <w:pPr>
        <w:pStyle w:val="P22"/>
        <w:spacing w:before="72" w:line="360" w:lineRule="auto"/>
        <w:ind w:left="1021" w:right="1134"/>
        <w:rPr>
          <w:rStyle w:val="default"/>
          <w:rFonts w:ascii="David" w:hAnsi="David" w:cs="David"/>
          <w:b/>
          <w:bCs/>
          <w:sz w:val="24"/>
          <w:szCs w:val="24"/>
          <w:rtl/>
        </w:rPr>
      </w:pPr>
      <w:r>
        <w:rPr>
          <w:rStyle w:val="default"/>
          <w:rFonts w:ascii="David" w:hAnsi="David" w:cs="David"/>
          <w:b/>
          <w:bCs/>
          <w:sz w:val="24"/>
          <w:szCs w:val="24"/>
          <w:rtl/>
        </w:rPr>
        <w:tab/>
      </w:r>
      <w:r>
        <w:rPr>
          <w:rStyle w:val="default"/>
          <w:rFonts w:ascii="David" w:hAnsi="David" w:cs="David"/>
          <w:b/>
          <w:bCs/>
          <w:sz w:val="24"/>
          <w:szCs w:val="24"/>
          <w:rtl/>
        </w:rPr>
        <w:tab/>
        <w:t>(2)</w:t>
      </w:r>
      <w:r>
        <w:rPr>
          <w:rStyle w:val="default"/>
          <w:rFonts w:ascii="David" w:hAnsi="David" w:cs="David"/>
          <w:b/>
          <w:bCs/>
          <w:sz w:val="24"/>
          <w:szCs w:val="24"/>
          <w:rtl/>
        </w:rPr>
        <w:tab/>
      </w:r>
      <w:r>
        <w:rPr>
          <w:rStyle w:val="default"/>
          <w:rFonts w:ascii="David" w:hAnsi="David" w:cs="David"/>
          <w:sz w:val="24"/>
          <w:szCs w:val="24"/>
          <w:rtl/>
        </w:rPr>
        <w:t>...</w:t>
      </w:r>
    </w:p>
    <w:p w:rsidR="005E162F" w:rsidRDefault="005E162F" w:rsidP="005E162F">
      <w:pPr>
        <w:pStyle w:val="P22"/>
        <w:spacing w:before="72" w:line="360" w:lineRule="auto"/>
        <w:ind w:left="1021" w:right="1134"/>
        <w:rPr>
          <w:rStyle w:val="default"/>
          <w:rFonts w:ascii="David" w:hAnsi="David" w:cs="David"/>
          <w:b/>
          <w:bCs/>
          <w:sz w:val="24"/>
          <w:szCs w:val="24"/>
          <w:rtl/>
        </w:rPr>
      </w:pPr>
      <w:r>
        <w:rPr>
          <w:rStyle w:val="default"/>
          <w:rFonts w:ascii="David" w:hAnsi="David" w:cs="David"/>
          <w:b/>
          <w:bCs/>
          <w:sz w:val="24"/>
          <w:szCs w:val="24"/>
          <w:rtl/>
        </w:rPr>
        <w:lastRenderedPageBreak/>
        <w:tab/>
      </w:r>
      <w:r>
        <w:rPr>
          <w:rStyle w:val="default"/>
          <w:rFonts w:ascii="David" w:hAnsi="David" w:cs="David"/>
          <w:b/>
          <w:bCs/>
          <w:sz w:val="24"/>
          <w:szCs w:val="24"/>
          <w:rtl/>
        </w:rPr>
        <w:tab/>
        <w:t>(3)</w:t>
      </w:r>
      <w:r>
        <w:rPr>
          <w:rStyle w:val="default"/>
          <w:rFonts w:ascii="David" w:hAnsi="David" w:cs="David"/>
          <w:b/>
          <w:bCs/>
          <w:sz w:val="24"/>
          <w:szCs w:val="24"/>
          <w:rtl/>
        </w:rPr>
        <w:tab/>
      </w:r>
      <w:r>
        <w:rPr>
          <w:rStyle w:val="default"/>
          <w:rFonts w:ascii="David" w:hAnsi="David" w:cs="David"/>
          <w:sz w:val="24"/>
          <w:szCs w:val="24"/>
          <w:rtl/>
        </w:rPr>
        <w:t>...</w:t>
      </w:r>
    </w:p>
    <w:p w:rsidR="005E162F" w:rsidRDefault="005E162F" w:rsidP="005E162F">
      <w:pPr>
        <w:pStyle w:val="P22"/>
        <w:spacing w:before="72" w:line="360" w:lineRule="auto"/>
        <w:ind w:left="1021" w:right="1134"/>
        <w:rPr>
          <w:rStyle w:val="default"/>
          <w:rFonts w:ascii="David" w:hAnsi="David" w:cs="David"/>
          <w:b/>
          <w:bCs/>
          <w:sz w:val="24"/>
          <w:szCs w:val="24"/>
          <w:rtl/>
        </w:rPr>
      </w:pPr>
      <w:r>
        <w:rPr>
          <w:rStyle w:val="default"/>
          <w:rFonts w:ascii="David" w:hAnsi="David" w:cs="David"/>
          <w:b/>
          <w:bCs/>
          <w:sz w:val="24"/>
          <w:szCs w:val="24"/>
          <w:rtl/>
        </w:rPr>
        <w:tab/>
      </w:r>
      <w:r>
        <w:rPr>
          <w:rStyle w:val="default"/>
          <w:rFonts w:ascii="David" w:hAnsi="David" w:cs="David"/>
          <w:b/>
          <w:bCs/>
          <w:sz w:val="24"/>
          <w:szCs w:val="24"/>
          <w:rtl/>
        </w:rPr>
        <w:tab/>
        <w:t>(4)</w:t>
      </w:r>
      <w:r>
        <w:rPr>
          <w:rStyle w:val="default"/>
          <w:rFonts w:ascii="David" w:hAnsi="David" w:cs="David"/>
          <w:b/>
          <w:bCs/>
          <w:sz w:val="24"/>
          <w:szCs w:val="24"/>
          <w:rtl/>
        </w:rPr>
        <w:tab/>
        <w:t>בפגיעה ברכושו, בשמו הטוב, או בחופש התנועה שלו;</w:t>
      </w:r>
    </w:p>
    <w:p w:rsidR="005E162F" w:rsidRDefault="005E162F" w:rsidP="005E162F">
      <w:pPr>
        <w:pStyle w:val="P22"/>
        <w:spacing w:before="72" w:line="360" w:lineRule="auto"/>
        <w:ind w:left="1021" w:right="1134" w:firstLine="419"/>
        <w:rPr>
          <w:rStyle w:val="default"/>
          <w:rFonts w:ascii="David" w:hAnsi="David" w:cs="David"/>
          <w:sz w:val="24"/>
          <w:szCs w:val="24"/>
          <w:rtl/>
        </w:rPr>
      </w:pPr>
      <w:r>
        <w:rPr>
          <w:rStyle w:val="default"/>
          <w:rFonts w:ascii="David" w:hAnsi="David" w:cs="David"/>
          <w:b/>
          <w:bCs/>
          <w:sz w:val="24"/>
          <w:szCs w:val="24"/>
          <w:rtl/>
        </w:rPr>
        <w:tab/>
      </w:r>
      <w:r>
        <w:rPr>
          <w:rStyle w:val="default"/>
          <w:rFonts w:ascii="David" w:hAnsi="David" w:cs="David"/>
          <w:b/>
          <w:bCs/>
          <w:sz w:val="24"/>
          <w:szCs w:val="24"/>
          <w:rtl/>
        </w:rPr>
        <w:tab/>
        <w:t>(5)</w:t>
      </w:r>
      <w:r>
        <w:rPr>
          <w:rStyle w:val="default"/>
          <w:rFonts w:ascii="David" w:hAnsi="David" w:cs="David"/>
          <w:sz w:val="24"/>
          <w:szCs w:val="24"/>
          <w:rtl/>
        </w:rPr>
        <w:tab/>
        <w:t>..."</w:t>
      </w:r>
    </w:p>
    <w:p w:rsidR="005E162F" w:rsidRDefault="005E162F" w:rsidP="005E162F">
      <w:pPr>
        <w:spacing w:line="360" w:lineRule="auto"/>
        <w:ind w:left="714"/>
        <w:jc w:val="both"/>
        <w:rPr>
          <w:rtl/>
        </w:rPr>
      </w:pPr>
      <w:r>
        <w:rPr>
          <w:rFonts w:ascii="David" w:hAnsi="David"/>
          <w:rtl/>
        </w:rPr>
        <w:t xml:space="preserve">משכך, לאור האמור לעיל הרי שהחלפת מנעול דלת הכניסה של הבית ומניעת כניסתו של המבקש לבית מהווה  הפרה של פסק הדין בהקשר של הימנעות מהטרדה כפי שהורה בית המשפט הסעיף 49. </w:t>
      </w:r>
    </w:p>
    <w:p w:rsidR="005E162F" w:rsidRDefault="005E162F" w:rsidP="005E162F">
      <w:pPr>
        <w:spacing w:line="360" w:lineRule="auto"/>
        <w:ind w:left="714"/>
        <w:jc w:val="both"/>
        <w:rPr>
          <w:rFonts w:ascii="David" w:hAnsi="David"/>
          <w:rtl/>
        </w:rPr>
      </w:pPr>
    </w:p>
    <w:p w:rsidR="005E162F" w:rsidRDefault="005E162F" w:rsidP="005E162F">
      <w:pPr>
        <w:spacing w:line="360" w:lineRule="auto"/>
        <w:ind w:left="714"/>
        <w:jc w:val="both"/>
        <w:rPr>
          <w:rFonts w:ascii="David" w:hAnsi="David"/>
          <w:rtl/>
        </w:rPr>
      </w:pPr>
      <w:r>
        <w:rPr>
          <w:rFonts w:ascii="David" w:hAnsi="David"/>
          <w:rtl/>
        </w:rPr>
        <w:t xml:space="preserve">הנחיית פסק הדין בנושא ההימנעות מהטרדה היא חד משמעית וברורה. </w:t>
      </w:r>
    </w:p>
    <w:p w:rsidR="005E162F" w:rsidRDefault="005E162F" w:rsidP="005E162F">
      <w:pPr>
        <w:spacing w:line="360" w:lineRule="auto"/>
        <w:ind w:left="84"/>
        <w:jc w:val="both"/>
        <w:rPr>
          <w:rFonts w:ascii="David" w:hAnsi="David"/>
          <w:rtl/>
        </w:rPr>
      </w:pPr>
    </w:p>
    <w:p w:rsidR="005E162F" w:rsidRDefault="005E162F" w:rsidP="005E162F">
      <w:pPr>
        <w:spacing w:line="360" w:lineRule="auto"/>
        <w:ind w:left="714" w:hanging="630"/>
        <w:jc w:val="both"/>
        <w:rPr>
          <w:rFonts w:ascii="David" w:hAnsi="David"/>
          <w:b/>
          <w:bCs/>
          <w:rtl/>
        </w:rPr>
      </w:pPr>
      <w:r>
        <w:rPr>
          <w:rFonts w:ascii="David" w:hAnsi="David"/>
          <w:rtl/>
        </w:rPr>
        <w:t>24.</w:t>
      </w:r>
      <w:r>
        <w:rPr>
          <w:rFonts w:ascii="David" w:hAnsi="David"/>
          <w:rtl/>
        </w:rPr>
        <w:tab/>
        <w:t xml:space="preserve">האם ניתן לאכוף את הצו הקבוע בפסק הדין בדרך אחרת? יוער בהקשר זה שעצם החובה לנהוג על פי החלטה שיפוטית ולכבד פסקי דין וצווים שיפוטיים אינה זקוקה להבהרה או הדגשה. משכך, דומה בעיני שהמשיבה יכולה הייתה לנהוג כמצופה ממנה עם מתן פסק הדין ולא לצקת פרשנות לפסק הדין שאינה עולה ממנו אך משרת את רצונה.   </w:t>
      </w:r>
    </w:p>
    <w:p w:rsidR="005E162F" w:rsidRDefault="005E162F" w:rsidP="005E162F">
      <w:pPr>
        <w:spacing w:line="360" w:lineRule="auto"/>
        <w:ind w:left="714" w:hanging="630"/>
        <w:jc w:val="both"/>
        <w:rPr>
          <w:rFonts w:ascii="David" w:hAnsi="David"/>
          <w:b/>
          <w:bCs/>
          <w:rtl/>
        </w:rPr>
      </w:pPr>
    </w:p>
    <w:p w:rsidR="005E162F" w:rsidRDefault="005E162F" w:rsidP="005E162F">
      <w:pPr>
        <w:spacing w:line="360" w:lineRule="auto"/>
        <w:ind w:left="714"/>
        <w:jc w:val="both"/>
        <w:rPr>
          <w:rFonts w:ascii="David" w:hAnsi="David"/>
          <w:rtl/>
        </w:rPr>
      </w:pPr>
      <w:r>
        <w:rPr>
          <w:rFonts w:ascii="David" w:hAnsi="David"/>
          <w:rtl/>
        </w:rPr>
        <w:t xml:space="preserve">גם לעת הזו, לכאורה, הפתרון פשוט: מסירת מפתח של דלת הכניסה של הבית למבקש והסרת המניעה מחזרתו לגור בבית כל עוד אין החלטה אחרת המשנה את המצב המשפטי.  </w:t>
      </w:r>
    </w:p>
    <w:p w:rsidR="005E162F" w:rsidRDefault="005E162F" w:rsidP="005E162F">
      <w:pPr>
        <w:spacing w:line="360" w:lineRule="auto"/>
        <w:ind w:left="714"/>
        <w:jc w:val="both"/>
        <w:rPr>
          <w:rFonts w:ascii="David" w:hAnsi="David"/>
          <w:b/>
          <w:bCs/>
          <w:rtl/>
        </w:rPr>
      </w:pPr>
    </w:p>
    <w:p w:rsidR="005E162F" w:rsidRDefault="005E162F" w:rsidP="005E162F">
      <w:pPr>
        <w:spacing w:line="360" w:lineRule="auto"/>
        <w:ind w:left="714" w:firstLine="6"/>
        <w:jc w:val="both"/>
        <w:rPr>
          <w:rFonts w:ascii="David" w:hAnsi="David"/>
          <w:rtl/>
        </w:rPr>
      </w:pPr>
      <w:r>
        <w:rPr>
          <w:rFonts w:ascii="David" w:hAnsi="David"/>
          <w:rtl/>
        </w:rPr>
        <w:t xml:space="preserve">יאמר שלזכויות הקנייניות בבית לעת הזו (המסד לפעולותיה של המשיבה לאחר מתן פסק הדין) אין להם דבר וחצי דבר עם השאלה מושא החלטה זו  הן לאור תקפותם ככלל ושעה שטרם ניתנה החלטה בעניין זה והן לאור אמירתו של כבוד השופט שמואל בסעיף 45 לפסק הדין בפרט.  </w:t>
      </w:r>
    </w:p>
    <w:p w:rsidR="005E162F" w:rsidRDefault="005E162F" w:rsidP="005E162F">
      <w:pPr>
        <w:spacing w:line="360" w:lineRule="auto"/>
        <w:ind w:left="84"/>
        <w:jc w:val="both"/>
        <w:rPr>
          <w:rFonts w:ascii="David" w:hAnsi="David"/>
          <w:b/>
          <w:bCs/>
          <w:rtl/>
        </w:rPr>
      </w:pPr>
      <w:r>
        <w:rPr>
          <w:rFonts w:ascii="David" w:hAnsi="David"/>
          <w:b/>
          <w:bCs/>
          <w:rtl/>
        </w:rPr>
        <w:lastRenderedPageBreak/>
        <w:tab/>
        <w:t xml:space="preserve"> </w:t>
      </w:r>
    </w:p>
    <w:p w:rsidR="005E162F" w:rsidRDefault="005E162F" w:rsidP="005E162F">
      <w:pPr>
        <w:spacing w:line="360" w:lineRule="auto"/>
        <w:ind w:left="714"/>
        <w:jc w:val="both"/>
        <w:rPr>
          <w:rFonts w:ascii="David" w:hAnsi="David"/>
          <w:rtl/>
        </w:rPr>
      </w:pPr>
      <w:r>
        <w:rPr>
          <w:rFonts w:ascii="David" w:hAnsi="David"/>
          <w:rtl/>
        </w:rPr>
        <w:tab/>
        <w:t xml:space="preserve">מצאתי להדגיש זאת שכן יאמר ובזהירות הראויה שלאור טיעוני המשיבה הן בכתב והן בעל פה דעתה (למשל פרוטוקול הדיון עמ' 8) לא תהא נוחה מהחלטה זו והתוצאה המחייבת אותה, וככל שלא תבצעה או אז יהא צורך בהפעלת הפקודה על דרך כפיית הציות לצו  בקנס יומי עד לביצוע בפועל  או החלטה אופרטיבית אחרת, משנה. </w:t>
      </w:r>
    </w:p>
    <w:p w:rsidR="005E162F" w:rsidRDefault="005E162F" w:rsidP="005E162F">
      <w:pPr>
        <w:spacing w:line="360" w:lineRule="auto"/>
        <w:ind w:left="714"/>
        <w:jc w:val="both"/>
        <w:rPr>
          <w:rFonts w:ascii="David" w:hAnsi="David"/>
          <w:rtl/>
        </w:rPr>
      </w:pPr>
    </w:p>
    <w:p w:rsidR="005E162F" w:rsidRDefault="005E162F" w:rsidP="005E162F">
      <w:pPr>
        <w:spacing w:line="360" w:lineRule="auto"/>
        <w:ind w:left="714" w:hanging="630"/>
        <w:jc w:val="both"/>
        <w:rPr>
          <w:rFonts w:ascii="David" w:hAnsi="David"/>
          <w:rtl/>
        </w:rPr>
      </w:pPr>
      <w:r>
        <w:rPr>
          <w:rFonts w:ascii="David" w:hAnsi="David"/>
          <w:rtl/>
        </w:rPr>
        <w:t>25.</w:t>
      </w:r>
      <w:r>
        <w:rPr>
          <w:rFonts w:ascii="David" w:hAnsi="David"/>
          <w:rtl/>
        </w:rPr>
        <w:tab/>
        <w:t xml:space="preserve">אין מחלוקת שהציווי בסעיף 49 הופר על ידי המשיבה: אותה הטרדה בדרך של החלפת  המנעול בבית משום שהמשיבה ראתה בכניסתו של המבקש בן זוגה משך שנים לבית בו התגוררו במשותף אותן שנים כ"השגת גבול".  </w:t>
      </w:r>
    </w:p>
    <w:p w:rsidR="005E162F" w:rsidRDefault="005E162F" w:rsidP="005E162F">
      <w:pPr>
        <w:spacing w:line="360" w:lineRule="auto"/>
        <w:ind w:left="714" w:hanging="630"/>
        <w:jc w:val="both"/>
        <w:rPr>
          <w:rFonts w:ascii="David" w:hAnsi="David"/>
          <w:rtl/>
        </w:rPr>
      </w:pPr>
    </w:p>
    <w:p w:rsidR="005E162F" w:rsidRDefault="005E162F" w:rsidP="005E162F">
      <w:pPr>
        <w:spacing w:line="360" w:lineRule="auto"/>
        <w:ind w:left="714"/>
        <w:jc w:val="both"/>
        <w:rPr>
          <w:rFonts w:ascii="David" w:hAnsi="David"/>
          <w:rtl/>
        </w:rPr>
      </w:pPr>
      <w:r>
        <w:rPr>
          <w:rFonts w:ascii="David" w:hAnsi="David"/>
          <w:rtl/>
        </w:rPr>
        <w:t>אין מקום לשוב ולהביא את טיעוניה של המשיבה ברם, יהא זה נכון להדגיש את אופי הפעולות שנקטה לאחר מתן פסק הדין כמתמצת באמירתה בדיון  מפי בא כוחה "</w:t>
      </w:r>
      <w:r>
        <w:rPr>
          <w:rFonts w:ascii="David" w:hAnsi="David"/>
          <w:b/>
          <w:bCs/>
          <w:rtl/>
        </w:rPr>
        <w:t>הוא לא יכול לחזור להתגורר בבית</w:t>
      </w:r>
      <w:r>
        <w:rPr>
          <w:rFonts w:ascii="David" w:hAnsi="David"/>
          <w:rtl/>
        </w:rPr>
        <w:t>" ולדבריה שלה</w:t>
      </w:r>
      <w:r>
        <w:rPr>
          <w:rFonts w:ascii="David" w:hAnsi="David"/>
          <w:b/>
          <w:bCs/>
          <w:rtl/>
        </w:rPr>
        <w:t xml:space="preserve"> </w:t>
      </w:r>
      <w:r>
        <w:rPr>
          <w:rFonts w:ascii="David" w:hAnsi="David"/>
          <w:rtl/>
        </w:rPr>
        <w:t>"</w:t>
      </w:r>
      <w:r>
        <w:rPr>
          <w:rFonts w:ascii="David" w:hAnsi="David"/>
          <w:b/>
          <w:bCs/>
          <w:rtl/>
        </w:rPr>
        <w:t>גם אין חדר בשבילו</w:t>
      </w:r>
      <w:r>
        <w:rPr>
          <w:rFonts w:ascii="David" w:hAnsi="David"/>
          <w:rtl/>
        </w:rPr>
        <w:t>"</w:t>
      </w:r>
      <w:r>
        <w:rPr>
          <w:rFonts w:ascii="David" w:hAnsi="David"/>
          <w:b/>
          <w:bCs/>
          <w:rtl/>
        </w:rPr>
        <w:t xml:space="preserve">  </w:t>
      </w:r>
      <w:r>
        <w:rPr>
          <w:rFonts w:ascii="David" w:hAnsi="David"/>
          <w:rtl/>
        </w:rPr>
        <w:t>(פרוטוקול עמ' 9).</w:t>
      </w:r>
      <w:r>
        <w:rPr>
          <w:rFonts w:ascii="David" w:hAnsi="David"/>
          <w:b/>
          <w:bCs/>
          <w:rtl/>
        </w:rPr>
        <w:t xml:space="preserve"> </w:t>
      </w:r>
      <w:r>
        <w:rPr>
          <w:rFonts w:ascii="David" w:hAnsi="David"/>
          <w:rtl/>
        </w:rPr>
        <w:t>הרי טרם מתן פסק הדין היה חדר.</w:t>
      </w:r>
    </w:p>
    <w:p w:rsidR="005E162F" w:rsidRDefault="005E162F" w:rsidP="005E162F">
      <w:pPr>
        <w:spacing w:line="360" w:lineRule="auto"/>
        <w:ind w:left="84"/>
        <w:jc w:val="both"/>
        <w:rPr>
          <w:rFonts w:ascii="David" w:hAnsi="David"/>
          <w:b/>
          <w:bCs/>
          <w:rtl/>
        </w:rPr>
      </w:pPr>
    </w:p>
    <w:p w:rsidR="005E162F" w:rsidRDefault="005E162F" w:rsidP="005E162F">
      <w:pPr>
        <w:spacing w:line="360" w:lineRule="auto"/>
        <w:ind w:left="720" w:hanging="720"/>
        <w:jc w:val="both"/>
        <w:rPr>
          <w:rFonts w:ascii="David" w:hAnsi="David"/>
          <w:rtl/>
        </w:rPr>
      </w:pPr>
      <w:r>
        <w:rPr>
          <w:rFonts w:ascii="David" w:hAnsi="David"/>
          <w:rtl/>
        </w:rPr>
        <w:tab/>
        <w:t>בשולי הדברים יוער שהמשיבה טענה "</w:t>
      </w:r>
      <w:r>
        <w:rPr>
          <w:rFonts w:ascii="David" w:hAnsi="David"/>
          <w:b/>
          <w:bCs/>
          <w:rtl/>
        </w:rPr>
        <w:t>הוא עזב מרצונו אחרי פסק הדין אני לא גירשתי אותו</w:t>
      </w:r>
      <w:r>
        <w:rPr>
          <w:rFonts w:ascii="David" w:hAnsi="David"/>
          <w:rtl/>
        </w:rPr>
        <w:t>" (פרוטוקול עמ' 8) מבלי לגרוע בסתירה שבין האמור לתוצאה הנגרמת מהחלפת המנעול של דלת הכניסה מתבקש שאם עזב מרצונו הוא רשאי לחזור מרצונו.</w:t>
      </w:r>
    </w:p>
    <w:p w:rsidR="005E162F" w:rsidRDefault="005E162F" w:rsidP="005E162F">
      <w:pPr>
        <w:spacing w:line="360" w:lineRule="auto"/>
        <w:ind w:left="720" w:hanging="720"/>
        <w:jc w:val="both"/>
        <w:rPr>
          <w:rFonts w:ascii="David" w:hAnsi="David"/>
          <w:rtl/>
        </w:rPr>
      </w:pPr>
    </w:p>
    <w:p w:rsidR="005E162F" w:rsidRDefault="005E162F" w:rsidP="005E162F">
      <w:pPr>
        <w:spacing w:line="360" w:lineRule="auto"/>
        <w:ind w:left="720" w:hanging="720"/>
        <w:jc w:val="both"/>
        <w:rPr>
          <w:rFonts w:ascii="David" w:hAnsi="David"/>
          <w:rtl/>
        </w:rPr>
      </w:pPr>
      <w:r>
        <w:rPr>
          <w:rFonts w:ascii="David" w:hAnsi="David"/>
          <w:rtl/>
        </w:rPr>
        <w:t>26.</w:t>
      </w:r>
      <w:r>
        <w:rPr>
          <w:rFonts w:ascii="David" w:hAnsi="David"/>
          <w:rtl/>
        </w:rPr>
        <w:tab/>
        <w:t xml:space="preserve">לעניין הבקשה השנייה שעניינה הטלפון הנייד של המבקש זו אינה נופלת לגדרה של החלטה </w:t>
      </w:r>
    </w:p>
    <w:p w:rsidR="005E162F" w:rsidRDefault="005E162F" w:rsidP="005E162F">
      <w:pPr>
        <w:spacing w:line="360" w:lineRule="auto"/>
        <w:ind w:left="720"/>
        <w:jc w:val="both"/>
        <w:rPr>
          <w:rFonts w:ascii="David" w:hAnsi="David"/>
          <w:rtl/>
        </w:rPr>
      </w:pPr>
      <w:r>
        <w:rPr>
          <w:rFonts w:ascii="David" w:hAnsi="David"/>
          <w:rtl/>
        </w:rPr>
        <w:t>זו והיא נדחית. אין בפסק הדין  התייחסות לפן רכושי ודי בכך כדי לדחות את הרכיב הזה.</w:t>
      </w:r>
    </w:p>
    <w:p w:rsidR="005E162F" w:rsidRDefault="005E162F" w:rsidP="005E162F">
      <w:pPr>
        <w:spacing w:line="360" w:lineRule="auto"/>
        <w:ind w:left="720" w:hanging="720"/>
        <w:jc w:val="both"/>
        <w:rPr>
          <w:rFonts w:ascii="David" w:hAnsi="David"/>
          <w:rtl/>
        </w:rPr>
      </w:pPr>
    </w:p>
    <w:p w:rsidR="005E162F" w:rsidRDefault="005E162F" w:rsidP="005E162F">
      <w:pPr>
        <w:spacing w:line="360" w:lineRule="auto"/>
        <w:ind w:left="720" w:hanging="720"/>
        <w:jc w:val="both"/>
        <w:rPr>
          <w:rFonts w:ascii="David" w:hAnsi="David"/>
          <w:b/>
          <w:bCs/>
          <w:rtl/>
        </w:rPr>
      </w:pPr>
      <w:r>
        <w:rPr>
          <w:rFonts w:ascii="David" w:hAnsi="David"/>
          <w:b/>
          <w:bCs/>
          <w:sz w:val="28"/>
          <w:szCs w:val="28"/>
          <w:u w:val="single"/>
          <w:rtl/>
        </w:rPr>
        <w:t>אחרית דבר</w:t>
      </w:r>
      <w:r>
        <w:rPr>
          <w:rFonts w:ascii="David" w:hAnsi="David"/>
          <w:b/>
          <w:bCs/>
          <w:sz w:val="28"/>
          <w:szCs w:val="28"/>
          <w:rtl/>
        </w:rPr>
        <w:t>:</w:t>
      </w:r>
    </w:p>
    <w:p w:rsidR="005E162F" w:rsidRDefault="005E162F" w:rsidP="005E162F">
      <w:pPr>
        <w:spacing w:line="360" w:lineRule="auto"/>
        <w:ind w:left="720" w:hanging="720"/>
        <w:jc w:val="both"/>
        <w:rPr>
          <w:rFonts w:ascii="David" w:hAnsi="David"/>
          <w:rtl/>
        </w:rPr>
      </w:pPr>
    </w:p>
    <w:p w:rsidR="005E162F" w:rsidRDefault="005E162F" w:rsidP="005E162F">
      <w:pPr>
        <w:spacing w:line="360" w:lineRule="auto"/>
        <w:ind w:left="720" w:hanging="720"/>
        <w:jc w:val="both"/>
        <w:rPr>
          <w:rFonts w:ascii="David" w:hAnsi="David"/>
          <w:rtl/>
        </w:rPr>
      </w:pPr>
      <w:r>
        <w:rPr>
          <w:rFonts w:ascii="David" w:hAnsi="David"/>
          <w:rtl/>
        </w:rPr>
        <w:t>27.</w:t>
      </w:r>
      <w:r>
        <w:rPr>
          <w:rFonts w:ascii="David" w:hAnsi="David"/>
          <w:rtl/>
        </w:rPr>
        <w:tab/>
      </w:r>
      <w:r>
        <w:rPr>
          <w:rFonts w:ascii="David" w:hAnsi="David"/>
          <w:b/>
          <w:bCs/>
          <w:rtl/>
        </w:rPr>
        <w:t>לאור המובא לעיל אני קובע כדלקמן</w:t>
      </w:r>
      <w:r>
        <w:rPr>
          <w:rFonts w:ascii="David" w:hAnsi="David"/>
          <w:rtl/>
        </w:rPr>
        <w:t>:</w:t>
      </w:r>
    </w:p>
    <w:p w:rsidR="005E162F" w:rsidRDefault="005E162F" w:rsidP="005E162F">
      <w:pPr>
        <w:spacing w:line="360" w:lineRule="auto"/>
        <w:ind w:left="720" w:hanging="720"/>
        <w:jc w:val="both"/>
        <w:rPr>
          <w:rFonts w:ascii="David" w:hAnsi="David"/>
          <w:rtl/>
        </w:rPr>
      </w:pPr>
    </w:p>
    <w:p w:rsidR="005E162F" w:rsidRDefault="005E162F" w:rsidP="005E162F">
      <w:pPr>
        <w:spacing w:line="360" w:lineRule="auto"/>
        <w:ind w:left="1440" w:hanging="720"/>
        <w:jc w:val="both"/>
        <w:rPr>
          <w:rFonts w:ascii="David" w:eastAsiaTheme="minorHAnsi" w:hAnsi="David"/>
          <w:rtl/>
        </w:rPr>
      </w:pPr>
      <w:r>
        <w:rPr>
          <w:rFonts w:ascii="David" w:hAnsi="David"/>
          <w:rtl/>
        </w:rPr>
        <w:t>א.</w:t>
      </w:r>
      <w:r>
        <w:rPr>
          <w:rFonts w:ascii="David" w:hAnsi="David"/>
          <w:rtl/>
        </w:rPr>
        <w:tab/>
        <w:t>המשיבה תישא בהוצאות לטובת המבקש על כל יום אחור במסירת המפתח למבקש החל מיום 11.9.24  (המועד בו יפוג תוקפו של צו ההרחקה החדש שניתן על ידי קצין המשטרה ביום 29.8.24 באירוע בבית הורי המבקש – ס' 14 לעיל) סך של 1,000 ₪ ליום. פרק זמן זה ישמש את הצדדים גם לצורך השגה על החלטה זו לבית המשפט המחוזי.</w:t>
      </w:r>
    </w:p>
    <w:p w:rsidR="005E162F" w:rsidRDefault="005E162F" w:rsidP="005E162F">
      <w:pPr>
        <w:spacing w:line="360" w:lineRule="auto"/>
        <w:ind w:left="1440" w:hanging="720"/>
        <w:jc w:val="both"/>
        <w:rPr>
          <w:rFonts w:ascii="David" w:hAnsi="David"/>
          <w:rtl/>
        </w:rPr>
      </w:pPr>
    </w:p>
    <w:p w:rsidR="005E162F" w:rsidRDefault="005E162F" w:rsidP="005E162F">
      <w:pPr>
        <w:spacing w:line="360" w:lineRule="auto"/>
        <w:ind w:left="1440" w:hanging="720"/>
        <w:jc w:val="both"/>
        <w:rPr>
          <w:rFonts w:ascii="David" w:hAnsi="David"/>
          <w:rtl/>
        </w:rPr>
      </w:pPr>
      <w:r>
        <w:rPr>
          <w:rFonts w:ascii="David" w:hAnsi="David"/>
          <w:rtl/>
        </w:rPr>
        <w:t>ב.</w:t>
      </w:r>
      <w:r>
        <w:rPr>
          <w:rFonts w:ascii="David" w:hAnsi="David"/>
          <w:rtl/>
        </w:rPr>
        <w:tab/>
        <w:t xml:space="preserve">לאור קביעתי על הפרת הצו השיפוטי בפסק הדין על ידי המשיבה אני מחייב אותה בתשלום קנס לאוצר המדינה בסך 2,000 ₪.   </w:t>
      </w:r>
      <w:r>
        <w:rPr>
          <w:rFonts w:ascii="David" w:hAnsi="David"/>
          <w:rtl/>
        </w:rPr>
        <w:tab/>
      </w:r>
    </w:p>
    <w:p w:rsidR="005E162F" w:rsidRDefault="005E162F" w:rsidP="005E162F">
      <w:pPr>
        <w:spacing w:line="360" w:lineRule="auto"/>
        <w:ind w:left="1440" w:hanging="720"/>
        <w:jc w:val="both"/>
        <w:rPr>
          <w:rFonts w:ascii="David" w:hAnsi="David"/>
          <w:rtl/>
        </w:rPr>
      </w:pPr>
    </w:p>
    <w:p w:rsidR="005E162F" w:rsidRDefault="005E162F" w:rsidP="005E162F">
      <w:pPr>
        <w:spacing w:line="360" w:lineRule="auto"/>
        <w:jc w:val="both"/>
        <w:rPr>
          <w:rFonts w:ascii="David" w:hAnsi="David"/>
          <w:rtl/>
        </w:rPr>
      </w:pPr>
      <w:r>
        <w:rPr>
          <w:rFonts w:ascii="David" w:hAnsi="David"/>
          <w:rtl/>
        </w:rPr>
        <w:tab/>
        <w:t>ג.</w:t>
      </w:r>
      <w:r>
        <w:rPr>
          <w:rFonts w:ascii="David" w:hAnsi="David"/>
          <w:rtl/>
        </w:rPr>
        <w:tab/>
        <w:t>המשיבה תשלם למבקש הוצאות משפט בסך 2,000 ₪ .</w:t>
      </w:r>
    </w:p>
    <w:p w:rsidR="005E162F" w:rsidRDefault="005E162F" w:rsidP="005E162F">
      <w:pPr>
        <w:spacing w:line="360" w:lineRule="auto"/>
        <w:jc w:val="both"/>
        <w:rPr>
          <w:rFonts w:ascii="David" w:hAnsi="David"/>
          <w:rtl/>
        </w:rPr>
      </w:pPr>
    </w:p>
    <w:p w:rsidR="005E162F" w:rsidRDefault="005E162F" w:rsidP="005E162F">
      <w:pPr>
        <w:spacing w:line="360" w:lineRule="auto"/>
        <w:jc w:val="both"/>
        <w:rPr>
          <w:rFonts w:ascii="David" w:hAnsi="David"/>
          <w:rtl/>
        </w:rPr>
      </w:pPr>
      <w:r>
        <w:rPr>
          <w:rFonts w:ascii="David" w:hAnsi="David"/>
          <w:rtl/>
        </w:rPr>
        <w:t>28.</w:t>
      </w:r>
      <w:r>
        <w:rPr>
          <w:rFonts w:ascii="David" w:hAnsi="David"/>
          <w:rtl/>
        </w:rPr>
        <w:tab/>
        <w:t>מתיר פרסום ההחלטה בהשמטת פרטים מזהים.</w:t>
      </w:r>
    </w:p>
    <w:p w:rsidR="005E162F" w:rsidRDefault="005E162F" w:rsidP="005E162F">
      <w:pPr>
        <w:spacing w:line="360" w:lineRule="auto"/>
        <w:jc w:val="both"/>
        <w:rPr>
          <w:rFonts w:ascii="David" w:hAnsi="David"/>
          <w:rtl/>
        </w:rPr>
      </w:pPr>
    </w:p>
    <w:p w:rsidR="005E162F" w:rsidRDefault="005E162F" w:rsidP="005E162F">
      <w:pPr>
        <w:spacing w:line="360" w:lineRule="auto"/>
        <w:jc w:val="both"/>
        <w:rPr>
          <w:rFonts w:ascii="David" w:hAnsi="David"/>
        </w:rPr>
      </w:pPr>
      <w:r>
        <w:rPr>
          <w:rFonts w:ascii="David" w:hAnsi="David"/>
          <w:rtl/>
        </w:rPr>
        <w:t>29.</w:t>
      </w:r>
      <w:r>
        <w:rPr>
          <w:rFonts w:ascii="David" w:hAnsi="David"/>
          <w:rtl/>
        </w:rPr>
        <w:tab/>
        <w:t>תואיל המזכירות לשלוח לצדדים ולסגור את הבקשה.</w:t>
      </w:r>
    </w:p>
    <w:p w:rsidR="005E162F" w:rsidRDefault="005E162F" w:rsidP="005E162F">
      <w:pPr>
        <w:spacing w:line="360" w:lineRule="auto"/>
        <w:jc w:val="both"/>
        <w:rPr>
          <w:rFonts w:ascii="David" w:hAnsi="David"/>
          <w:rtl/>
        </w:rPr>
      </w:pPr>
    </w:p>
    <w:p w:rsidR="0042219E" w:rsidRDefault="0042219E" w:rsidP="005E162F">
      <w:pPr>
        <w:spacing w:line="360" w:lineRule="auto"/>
        <w:jc w:val="both"/>
        <w:rPr>
          <w:rFonts w:ascii="David" w:hAnsi="David"/>
          <w:rtl/>
        </w:rPr>
      </w:pPr>
    </w:p>
    <w:p w:rsidR="0042219E" w:rsidRDefault="0042219E" w:rsidP="005E162F">
      <w:pPr>
        <w:spacing w:line="360" w:lineRule="auto"/>
        <w:jc w:val="both"/>
        <w:rPr>
          <w:rFonts w:ascii="David" w:hAnsi="David"/>
          <w:rtl/>
        </w:rPr>
      </w:pPr>
    </w:p>
    <w:p w:rsidR="0042219E" w:rsidRDefault="0042219E" w:rsidP="005E162F">
      <w:pPr>
        <w:spacing w:line="360" w:lineRule="auto"/>
        <w:jc w:val="both"/>
        <w:rPr>
          <w:rFonts w:ascii="David" w:hAnsi="David"/>
          <w:rtl/>
        </w:rPr>
      </w:pPr>
    </w:p>
    <w:p w:rsidR="0042219E" w:rsidRDefault="0042219E" w:rsidP="005E162F">
      <w:pPr>
        <w:spacing w:line="360" w:lineRule="auto"/>
        <w:jc w:val="both"/>
        <w:rPr>
          <w:rFonts w:ascii="David" w:hAnsi="David"/>
          <w:rtl/>
        </w:rPr>
      </w:pPr>
    </w:p>
    <w:p w:rsidR="0042219E" w:rsidRDefault="0042219E" w:rsidP="005E162F">
      <w:pPr>
        <w:spacing w:line="360" w:lineRule="auto"/>
        <w:jc w:val="both"/>
        <w:rPr>
          <w:rFonts w:ascii="David" w:hAnsi="David"/>
          <w:rtl/>
        </w:rPr>
      </w:pPr>
    </w:p>
    <w:p w:rsidR="0042219E" w:rsidRDefault="0042219E" w:rsidP="005E162F">
      <w:pPr>
        <w:spacing w:line="360" w:lineRule="auto"/>
        <w:jc w:val="both"/>
        <w:rPr>
          <w:rFonts w:ascii="David" w:hAnsi="David"/>
          <w:rtl/>
        </w:rPr>
      </w:pPr>
    </w:p>
    <w:p w:rsidR="0042219E" w:rsidRDefault="0042219E" w:rsidP="005E162F">
      <w:pPr>
        <w:spacing w:line="360" w:lineRule="auto"/>
        <w:jc w:val="both"/>
        <w:rPr>
          <w:rFonts w:ascii="David" w:hAnsi="David"/>
          <w:rtl/>
        </w:rPr>
      </w:pPr>
    </w:p>
    <w:p w:rsidR="005E162F" w:rsidRDefault="005E162F" w:rsidP="005E162F">
      <w:pPr>
        <w:spacing w:line="360" w:lineRule="auto"/>
        <w:ind w:left="720" w:hanging="720"/>
        <w:jc w:val="both"/>
        <w:rPr>
          <w:rFonts w:ascii="David" w:hAnsi="David"/>
          <w:rtl/>
        </w:rPr>
      </w:pPr>
      <w:r>
        <w:rPr>
          <w:rFonts w:ascii="David" w:hAnsi="David"/>
          <w:rtl/>
        </w:rPr>
        <w:t>30.</w:t>
      </w:r>
      <w:r>
        <w:rPr>
          <w:rFonts w:ascii="David" w:hAnsi="David"/>
          <w:rtl/>
        </w:rPr>
        <w:tab/>
        <w:t>כך, תואיל המזכירות להניח החלטה זו בס המשימות של המותב הדן בעניינם של הצדדים, כבוד השופטת שני כ"ץ, לידיעתה.</w:t>
      </w:r>
    </w:p>
    <w:p w:rsidR="0042219E" w:rsidRDefault="0042219E" w:rsidP="005E162F">
      <w:pPr>
        <w:spacing w:line="360" w:lineRule="auto"/>
        <w:jc w:val="both"/>
        <w:rPr>
          <w:rFonts w:ascii="Arial" w:hAnsi="Arial"/>
          <w:noProof w:val="0"/>
          <w:rtl/>
        </w:rPr>
      </w:pPr>
    </w:p>
    <w:p w:rsidR="005E162F" w:rsidRDefault="005E162F" w:rsidP="005E162F">
      <w:pPr>
        <w:spacing w:line="360" w:lineRule="auto"/>
        <w:jc w:val="both"/>
        <w:rPr>
          <w:rFonts w:ascii="Arial" w:hAnsi="Arial"/>
          <w:noProof w:val="0"/>
          <w:rtl/>
        </w:rPr>
      </w:pPr>
      <w:r>
        <w:rPr>
          <w:rFonts w:ascii="Arial" w:hAnsi="Arial"/>
          <w:noProof w:val="0"/>
          <w:rtl/>
        </w:rPr>
        <w:t xml:space="preserve">ניתנה היום, </w:t>
      </w:r>
      <w:sdt>
        <w:sdtPr>
          <w:rPr>
            <w:rtl/>
          </w:rPr>
          <w:alias w:val="1455"/>
          <w:tag w:val="1455"/>
          <w:id w:val="1666048407"/>
          <w:text w:multiLine="1"/>
        </w:sdtPr>
        <w:sdtEndPr/>
        <w:sdtContent>
          <w:r>
            <w:rPr>
              <w:rFonts w:ascii="Arial" w:hAnsi="Arial"/>
              <w:noProof w:val="0"/>
              <w:rtl/>
            </w:rPr>
            <w:t>א' אלול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04 ספטמבר 2024</w:t>
          </w:r>
        </w:sdtContent>
      </w:sdt>
      <w:r>
        <w:rPr>
          <w:rFonts w:ascii="Arial" w:hAnsi="Arial"/>
          <w:noProof w:val="0"/>
          <w:rtl/>
        </w:rPr>
        <w:t>, בהעדר הצדדים.</w:t>
      </w:r>
    </w:p>
    <w:p w:rsidR="005E162F" w:rsidRDefault="008D05EA" w:rsidP="005E162F">
      <w:pPr>
        <w:tabs>
          <w:tab w:val="left" w:pos="2553"/>
        </w:tabs>
        <w:ind w:left="5040"/>
        <w:rPr>
          <w:rtl/>
        </w:rPr>
      </w:pPr>
      <w:sdt>
        <w:sdtPr>
          <w:rPr>
            <w:rtl/>
          </w:rPr>
          <w:alias w:val="2045"/>
          <w:tag w:val="2045"/>
          <w:id w:val="740689340"/>
          <w:placeholder>
            <w:docPart w:val="727E0FC37E944A01BB252661BA0F03C3"/>
          </w:placeholder>
          <w:showingPlcHdr/>
          <w:text w:multiLine="1"/>
        </w:sdtPr>
        <w:sdtEndPr/>
        <w:sdtContent>
          <w:r w:rsidR="005E162F">
            <w:rPr>
              <w:rtl/>
            </w:rPr>
            <w:t xml:space="preserve">     </w:t>
          </w:r>
        </w:sdtContent>
      </w:sdt>
    </w:p>
    <w:p w:rsidR="005E162F" w:rsidRDefault="005E162F" w:rsidP="005E162F">
      <w:pPr>
        <w:tabs>
          <w:tab w:val="left" w:pos="2553"/>
        </w:tabs>
        <w:rPr>
          <w:rtl/>
        </w:rPr>
      </w:pPr>
      <w:r>
        <w:rPr>
          <w:rtl/>
        </w:rPr>
        <w:tab/>
      </w:r>
      <w:r>
        <w:rPr>
          <w:rtl/>
        </w:rPr>
        <w:tab/>
      </w:r>
      <w:r>
        <w:rPr>
          <w:rtl/>
        </w:rPr>
        <w:tab/>
      </w:r>
      <w:r>
        <w:rPr>
          <w:rtl/>
        </w:rPr>
        <w:tab/>
        <w:t xml:space="preserve">        </w:t>
      </w:r>
      <w:sdt>
        <w:sdtPr>
          <w:rPr>
            <w:rtl/>
          </w:rPr>
          <w:alias w:val="MergeField"/>
          <w:tag w:val="1237"/>
          <w:id w:val="1406735024"/>
        </w:sdtPr>
        <w:sdtEndPr/>
        <w:sdtContent>
          <w:r>
            <w:drawing>
              <wp:inline distT="0" distB="0" distL="0" distR="0">
                <wp:extent cx="1685925" cy="1009650"/>
                <wp:effectExtent l="0" t="0" r="952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85925" cy="1009650"/>
                        </a:xfrm>
                        <a:prstGeom prst="rect">
                          <a:avLst/>
                        </a:prstGeom>
                        <a:noFill/>
                        <a:ln>
                          <a:noFill/>
                        </a:ln>
                      </pic:spPr>
                    </pic:pic>
                  </a:graphicData>
                </a:graphic>
              </wp:inline>
            </w:drawing>
          </w:r>
        </w:sdtContent>
      </w:sdt>
    </w:p>
    <w:p w:rsidR="005E162F" w:rsidRDefault="005E162F" w:rsidP="005E162F">
      <w:pPr>
        <w:tabs>
          <w:tab w:val="left" w:pos="2553"/>
        </w:tabs>
        <w:rPr>
          <w:rFonts w:ascii="Arial" w:hAnsi="Arial"/>
          <w:noProof w:val="0"/>
        </w:rPr>
      </w:pPr>
    </w:p>
    <w:p w:rsidR="00512360" w:rsidRPr="005E162F" w:rsidRDefault="00512360"/>
    <w:sectPr w:rsidR="00512360" w:rsidRPr="005E162F" w:rsidSect="00C11DC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oNotDisplayPageBoundaries/>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62F"/>
    <w:rsid w:val="00161C71"/>
    <w:rsid w:val="0042219E"/>
    <w:rsid w:val="004A18AD"/>
    <w:rsid w:val="00512360"/>
    <w:rsid w:val="005C318E"/>
    <w:rsid w:val="005E162F"/>
    <w:rsid w:val="008D05EA"/>
    <w:rsid w:val="00C11DC6"/>
    <w:rsid w:val="00DA51B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EBD7B0-736A-4750-824E-255335B3B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162F"/>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unhideWhenUsed/>
    <w:rsid w:val="005E162F"/>
    <w:pPr>
      <w:tabs>
        <w:tab w:val="center" w:pos="4153"/>
        <w:tab w:val="right" w:pos="8306"/>
      </w:tabs>
    </w:pPr>
  </w:style>
  <w:style w:type="character" w:customStyle="1" w:styleId="a4">
    <w:name w:val="כותרת עליונה תו"/>
    <w:basedOn w:val="a0"/>
    <w:link w:val="a3"/>
    <w:semiHidden/>
    <w:rsid w:val="005E162F"/>
    <w:rPr>
      <w:rFonts w:ascii="Times New Roman" w:eastAsia="Times New Roman" w:hAnsi="Times New Roman" w:cs="David"/>
      <w:noProof/>
      <w:sz w:val="24"/>
      <w:szCs w:val="24"/>
    </w:rPr>
  </w:style>
  <w:style w:type="paragraph" w:styleId="NormalWeb">
    <w:name w:val="Normal (Web)"/>
    <w:basedOn w:val="a"/>
    <w:uiPriority w:val="99"/>
    <w:semiHidden/>
    <w:unhideWhenUsed/>
    <w:rsid w:val="005E162F"/>
    <w:pPr>
      <w:bidi w:val="0"/>
      <w:spacing w:before="100" w:beforeAutospacing="1" w:after="100" w:afterAutospacing="1"/>
    </w:pPr>
    <w:rPr>
      <w:rFonts w:eastAsiaTheme="minorEastAsia" w:cs="Times New Roman"/>
      <w:noProof w:val="0"/>
    </w:rPr>
  </w:style>
  <w:style w:type="paragraph" w:customStyle="1" w:styleId="1">
    <w:name w:val="פיסקת רשימה1"/>
    <w:basedOn w:val="a"/>
    <w:qFormat/>
    <w:rsid w:val="005E162F"/>
    <w:pPr>
      <w:ind w:left="720"/>
      <w:contextualSpacing/>
    </w:pPr>
  </w:style>
  <w:style w:type="paragraph" w:customStyle="1" w:styleId="a5">
    <w:name w:val="כללי"/>
    <w:basedOn w:val="a"/>
    <w:rsid w:val="005E162F"/>
    <w:pPr>
      <w:overflowPunct w:val="0"/>
      <w:autoSpaceDE w:val="0"/>
      <w:autoSpaceDN w:val="0"/>
      <w:adjustRightInd w:val="0"/>
      <w:spacing w:after="240" w:line="278" w:lineRule="exact"/>
      <w:ind w:firstLine="284"/>
      <w:jc w:val="both"/>
    </w:pPr>
    <w:rPr>
      <w:rFonts w:cs="FrankRuehl"/>
      <w:noProof w:val="0"/>
      <w:sz w:val="20"/>
      <w:lang w:eastAsia="he-IL"/>
    </w:rPr>
  </w:style>
  <w:style w:type="paragraph" w:customStyle="1" w:styleId="P00">
    <w:name w:val="P00"/>
    <w:rsid w:val="005E162F"/>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after="0" w:line="240" w:lineRule="auto"/>
      <w:ind w:left="2835"/>
      <w:jc w:val="both"/>
    </w:pPr>
    <w:rPr>
      <w:rFonts w:ascii="Times New Roman" w:eastAsia="Times New Roman" w:hAnsi="Times New Roman" w:cs="Times New Roman"/>
      <w:noProof/>
      <w:sz w:val="20"/>
      <w:szCs w:val="26"/>
      <w:lang w:eastAsia="he-IL"/>
    </w:rPr>
  </w:style>
  <w:style w:type="paragraph" w:customStyle="1" w:styleId="P22">
    <w:name w:val="P22"/>
    <w:basedOn w:val="P00"/>
    <w:rsid w:val="005E162F"/>
    <w:pPr>
      <w:tabs>
        <w:tab w:val="clear" w:pos="624"/>
        <w:tab w:val="clear" w:pos="1021"/>
      </w:tabs>
      <w:ind w:right="1021"/>
    </w:pPr>
  </w:style>
  <w:style w:type="character" w:customStyle="1" w:styleId="default">
    <w:name w:val="default"/>
    <w:basedOn w:val="a0"/>
    <w:rsid w:val="005E162F"/>
    <w:rPr>
      <w:rFonts w:ascii="Times New Roman" w:hAnsi="Times New Roman" w:cs="Times New Roman" w:hint="default"/>
      <w:sz w:val="26"/>
      <w:szCs w:val="26"/>
    </w:rPr>
  </w:style>
  <w:style w:type="character" w:customStyle="1" w:styleId="big-number">
    <w:name w:val="big-number"/>
    <w:basedOn w:val="default"/>
    <w:rsid w:val="005E162F"/>
    <w:rPr>
      <w:rFonts w:ascii="Times New Roman" w:hAnsi="Times New Roman" w:cs="Times New Roman" w:hint="default"/>
      <w:sz w:val="32"/>
      <w:szCs w:val="32"/>
    </w:rPr>
  </w:style>
  <w:style w:type="table" w:styleId="a6">
    <w:name w:val="Table Grid"/>
    <w:basedOn w:val="a1"/>
    <w:rsid w:val="005E162F"/>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42219E"/>
    <w:rPr>
      <w:rFonts w:ascii="Tahoma" w:hAnsi="Tahoma" w:cs="Tahoma"/>
      <w:sz w:val="18"/>
      <w:szCs w:val="18"/>
    </w:rPr>
  </w:style>
  <w:style w:type="character" w:customStyle="1" w:styleId="a8">
    <w:name w:val="טקסט בלונים תו"/>
    <w:basedOn w:val="a0"/>
    <w:link w:val="a7"/>
    <w:uiPriority w:val="99"/>
    <w:semiHidden/>
    <w:rsid w:val="0042219E"/>
    <w:rPr>
      <w:rFonts w:ascii="Tahoma" w:eastAsia="Times New Roman" w:hAnsi="Tahoma" w:cs="Tahoma"/>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8954790">
      <w:bodyDiv w:val="1"/>
      <w:marLeft w:val="0"/>
      <w:marRight w:val="0"/>
      <w:marTop w:val="0"/>
      <w:marBottom w:val="0"/>
      <w:divBdr>
        <w:top w:val="none" w:sz="0" w:space="0" w:color="auto"/>
        <w:left w:val="none" w:sz="0" w:space="0" w:color="auto"/>
        <w:bottom w:val="none" w:sz="0" w:space="0" w:color="auto"/>
        <w:right w:val="none" w:sz="0" w:space="0" w:color="auto"/>
      </w:divBdr>
    </w:div>
    <w:div w:id="167838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27E0FC37E944A01BB252661BA0F03C3"/>
        <w:category>
          <w:name w:val="כללי"/>
          <w:gallery w:val="placeholder"/>
        </w:category>
        <w:types>
          <w:type w:val="bbPlcHdr"/>
        </w:types>
        <w:behaviors>
          <w:behavior w:val="content"/>
        </w:behaviors>
        <w:guid w:val="{0BC7589F-A64B-452D-917F-24168583A884}"/>
      </w:docPartPr>
      <w:docPartBody>
        <w:p w:rsidR="002B6957" w:rsidRDefault="0039526B" w:rsidP="0039526B">
          <w:pPr>
            <w:pStyle w:val="727E0FC37E944A01BB252661BA0F03C3"/>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26B"/>
    <w:rsid w:val="002B6957"/>
    <w:rsid w:val="0039526B"/>
    <w:rsid w:val="00546FA8"/>
    <w:rsid w:val="00CF07F4"/>
    <w:rsid w:val="00DE66F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27E0FC37E944A01BB252661BA0F03C3">
    <w:name w:val="727E0FC37E944A01BB252661BA0F03C3"/>
    <w:rsid w:val="0039526B"/>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3087</Words>
  <Characters>15437</Characters>
  <Application>Microsoft Office Word</Application>
  <DocSecurity>0</DocSecurity>
  <Lines>128</Lines>
  <Paragraphs>36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18488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גרמאו מנגיסטו</cp:lastModifiedBy>
  <cp:revision>2</cp:revision>
  <cp:lastPrinted>2024-09-04T09:02:00Z</cp:lastPrinted>
  <dcterms:created xsi:type="dcterms:W3CDTF">2024-09-09T11:34:00Z</dcterms:created>
  <dcterms:modified xsi:type="dcterms:W3CDTF">2024-09-09T11:34:00Z</dcterms:modified>
</cp:coreProperties>
</file>